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8C866F" w14:textId="77777777" w:rsidR="00004BC9" w:rsidRDefault="00004BC9" w:rsidP="00004BC9">
      <w:pPr>
        <w:pStyle w:val="paragraph"/>
        <w:spacing w:before="0" w:beforeAutospacing="0" w:after="0" w:afterAutospacing="0"/>
        <w:jc w:val="right"/>
        <w:textAlignment w:val="baseline"/>
        <w:rPr>
          <w:rStyle w:val="eop"/>
          <w:rFonts w:ascii="Arial" w:eastAsiaTheme="majorEastAsia" w:hAnsi="Arial" w:cs="Arial"/>
          <w:color w:val="75C104"/>
          <w:sz w:val="28"/>
          <w:szCs w:val="28"/>
        </w:rPr>
      </w:pPr>
      <w:r>
        <w:rPr>
          <w:rStyle w:val="wacimagecontainer"/>
          <w:rFonts w:ascii="Segoe UI" w:eastAsiaTheme="majorEastAsia" w:hAnsi="Segoe UI" w:cs="Segoe UI"/>
          <w:noProof/>
          <w:color w:val="64777E"/>
          <w:sz w:val="12"/>
          <w:szCs w:val="12"/>
        </w:rPr>
        <w:drawing>
          <wp:anchor distT="0" distB="0" distL="114300" distR="114300" simplePos="0" relativeHeight="251658240" behindDoc="1" locked="0" layoutInCell="1" allowOverlap="1" wp14:anchorId="213D6BA9" wp14:editId="4C580065">
            <wp:simplePos x="0" y="0"/>
            <wp:positionH relativeFrom="page">
              <wp:posOffset>7288</wp:posOffset>
            </wp:positionH>
            <wp:positionV relativeFrom="paragraph">
              <wp:posOffset>-996637</wp:posOffset>
            </wp:positionV>
            <wp:extent cx="7559675" cy="1703070"/>
            <wp:effectExtent l="0" t="0" r="3175" b="0"/>
            <wp:wrapNone/>
            <wp:docPr id="11" name="Picture 8"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screenshot of a video gam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59675" cy="17030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0E31E3" w14:textId="77777777" w:rsidR="00004BC9" w:rsidRDefault="00004BC9" w:rsidP="00004BC9">
      <w:pPr>
        <w:pStyle w:val="paragraph"/>
        <w:spacing w:before="0" w:beforeAutospacing="0" w:after="0" w:afterAutospacing="0"/>
        <w:jc w:val="right"/>
        <w:textAlignment w:val="baseline"/>
        <w:rPr>
          <w:rStyle w:val="eop"/>
          <w:rFonts w:ascii="Arial" w:eastAsiaTheme="majorEastAsia" w:hAnsi="Arial" w:cs="Arial"/>
          <w:color w:val="75C104"/>
          <w:sz w:val="28"/>
          <w:szCs w:val="28"/>
        </w:rPr>
      </w:pPr>
    </w:p>
    <w:p w14:paraId="3B9C719C" w14:textId="36E7B2DB" w:rsidR="00004BC9" w:rsidRDefault="00004BC9" w:rsidP="00004BC9">
      <w:pPr>
        <w:pStyle w:val="paragraph"/>
        <w:spacing w:before="0" w:beforeAutospacing="0" w:after="0" w:afterAutospacing="0"/>
        <w:jc w:val="right"/>
        <w:textAlignment w:val="baseline"/>
        <w:rPr>
          <w:rStyle w:val="eop"/>
          <w:rFonts w:ascii="Arial" w:eastAsiaTheme="majorEastAsia" w:hAnsi="Arial" w:cs="Arial"/>
          <w:color w:val="75C104"/>
          <w:sz w:val="28"/>
          <w:szCs w:val="28"/>
        </w:rPr>
      </w:pPr>
      <w:r>
        <w:rPr>
          <w:rStyle w:val="eop"/>
          <w:rFonts w:ascii="Arial" w:eastAsiaTheme="majorEastAsia" w:hAnsi="Arial" w:cs="Arial"/>
          <w:color w:val="75C104"/>
          <w:sz w:val="28"/>
          <w:szCs w:val="28"/>
        </w:rPr>
        <w:t>October 2024</w:t>
      </w:r>
    </w:p>
    <w:p w14:paraId="7BBF4496" w14:textId="77777777" w:rsidR="00004BC9" w:rsidRPr="008D30BD" w:rsidRDefault="00004BC9" w:rsidP="00004BC9">
      <w:pPr>
        <w:pStyle w:val="paragraph"/>
        <w:spacing w:before="0" w:beforeAutospacing="0" w:after="0" w:afterAutospacing="0"/>
        <w:jc w:val="center"/>
        <w:textAlignment w:val="baseline"/>
        <w:rPr>
          <w:rFonts w:ascii="Arial" w:eastAsiaTheme="majorEastAsia" w:hAnsi="Arial" w:cs="Arial"/>
          <w:color w:val="75C104"/>
          <w:sz w:val="28"/>
          <w:szCs w:val="28"/>
        </w:rPr>
      </w:pPr>
      <w:r>
        <w:rPr>
          <w:rStyle w:val="eop"/>
          <w:rFonts w:ascii="Arial" w:eastAsiaTheme="majorEastAsia" w:hAnsi="Arial" w:cs="Arial"/>
          <w:color w:val="75C104"/>
          <w:sz w:val="28"/>
          <w:szCs w:val="28"/>
        </w:rPr>
        <w:t> </w:t>
      </w:r>
    </w:p>
    <w:p w14:paraId="73B730F1" w14:textId="77777777" w:rsidR="00004BC9" w:rsidRDefault="00004BC9" w:rsidP="00004BC9">
      <w:pPr>
        <w:pStyle w:val="paragraph"/>
        <w:spacing w:before="0" w:beforeAutospacing="0" w:after="0" w:afterAutospacing="0"/>
        <w:jc w:val="center"/>
        <w:textAlignment w:val="baseline"/>
        <w:rPr>
          <w:rStyle w:val="normaltextrun"/>
          <w:rFonts w:ascii="Arial" w:eastAsiaTheme="majorEastAsia" w:hAnsi="Arial" w:cs="Arial"/>
          <w:color w:val="75C104"/>
          <w:sz w:val="28"/>
          <w:szCs w:val="28"/>
        </w:rPr>
      </w:pPr>
    </w:p>
    <w:p w14:paraId="55DD7088" w14:textId="77777777" w:rsidR="00004BC9" w:rsidRDefault="00004BC9" w:rsidP="00004BC9">
      <w:pPr>
        <w:pStyle w:val="paragraph"/>
        <w:spacing w:before="0" w:beforeAutospacing="0" w:after="0" w:afterAutospacing="0"/>
        <w:jc w:val="center"/>
        <w:textAlignment w:val="baseline"/>
        <w:rPr>
          <w:rFonts w:ascii="Segoe UI" w:hAnsi="Segoe UI" w:cs="Segoe UI"/>
          <w:color w:val="64777E"/>
          <w:sz w:val="18"/>
          <w:szCs w:val="18"/>
        </w:rPr>
      </w:pPr>
      <w:r>
        <w:rPr>
          <w:rStyle w:val="normaltextrun"/>
          <w:rFonts w:ascii="Arial" w:eastAsiaTheme="majorEastAsia" w:hAnsi="Arial" w:cs="Arial"/>
          <w:color w:val="75C104"/>
          <w:sz w:val="28"/>
          <w:szCs w:val="28"/>
        </w:rPr>
        <w:t>Fund Review</w:t>
      </w:r>
      <w:r>
        <w:rPr>
          <w:rStyle w:val="eop"/>
          <w:rFonts w:ascii="Arial" w:eastAsiaTheme="majorEastAsia" w:hAnsi="Arial" w:cs="Arial"/>
          <w:color w:val="75C104"/>
          <w:sz w:val="28"/>
          <w:szCs w:val="28"/>
        </w:rPr>
        <w:t> </w:t>
      </w:r>
    </w:p>
    <w:p w14:paraId="2B32E94C" w14:textId="77777777" w:rsidR="00004BC9" w:rsidRDefault="00004BC9" w:rsidP="00004BC9">
      <w:pPr>
        <w:pStyle w:val="paragraph"/>
        <w:spacing w:before="0" w:beforeAutospacing="0" w:after="0" w:afterAutospacing="0"/>
        <w:jc w:val="center"/>
        <w:textAlignment w:val="baseline"/>
        <w:rPr>
          <w:rFonts w:ascii="Segoe UI" w:hAnsi="Segoe UI" w:cs="Segoe UI"/>
          <w:color w:val="64777E"/>
          <w:sz w:val="18"/>
          <w:szCs w:val="18"/>
        </w:rPr>
      </w:pPr>
      <w:r>
        <w:rPr>
          <w:rStyle w:val="eop"/>
          <w:rFonts w:ascii="Arial" w:eastAsiaTheme="majorEastAsia" w:hAnsi="Arial" w:cs="Arial"/>
          <w:color w:val="75C104"/>
          <w:sz w:val="28"/>
          <w:szCs w:val="28"/>
        </w:rPr>
        <w:t> </w:t>
      </w:r>
    </w:p>
    <w:p w14:paraId="16B1F352" w14:textId="77777777" w:rsidR="00004BC9" w:rsidRDefault="00004BC9" w:rsidP="00004BC9">
      <w:pPr>
        <w:pStyle w:val="paragraph"/>
        <w:spacing w:before="0" w:beforeAutospacing="0" w:after="0" w:afterAutospacing="0"/>
        <w:jc w:val="center"/>
        <w:textAlignment w:val="baseline"/>
        <w:rPr>
          <w:rStyle w:val="normaltextrun"/>
          <w:rFonts w:ascii="Arial" w:eastAsiaTheme="majorEastAsia" w:hAnsi="Arial" w:cs="Arial"/>
          <w:b/>
          <w:bCs/>
          <w:color w:val="75C104"/>
          <w:sz w:val="28"/>
          <w:szCs w:val="28"/>
        </w:rPr>
      </w:pPr>
      <w:r w:rsidRPr="00004BC9">
        <w:rPr>
          <w:rStyle w:val="normaltextrun"/>
          <w:rFonts w:ascii="Arial" w:eastAsiaTheme="majorEastAsia" w:hAnsi="Arial" w:cs="Arial"/>
          <w:b/>
          <w:bCs/>
          <w:color w:val="75C104"/>
          <w:sz w:val="28"/>
          <w:szCs w:val="28"/>
        </w:rPr>
        <w:t>Janus Henderson Diversified Credit Fund</w:t>
      </w:r>
    </w:p>
    <w:p w14:paraId="6457032E" w14:textId="115EDAB4" w:rsidR="00004BC9" w:rsidRDefault="00004BC9" w:rsidP="00004BC9">
      <w:pPr>
        <w:pStyle w:val="paragraph"/>
        <w:spacing w:before="0" w:beforeAutospacing="0" w:after="0" w:afterAutospacing="0"/>
        <w:jc w:val="center"/>
        <w:textAlignment w:val="baseline"/>
        <w:rPr>
          <w:rFonts w:ascii="Segoe UI" w:hAnsi="Segoe UI" w:cs="Segoe UI"/>
          <w:color w:val="64777E"/>
          <w:sz w:val="18"/>
          <w:szCs w:val="18"/>
        </w:rPr>
      </w:pPr>
      <w:r>
        <w:rPr>
          <w:rStyle w:val="normaltextrun"/>
          <w:rFonts w:ascii="Arial" w:eastAsiaTheme="majorEastAsia" w:hAnsi="Arial" w:cs="Arial"/>
          <w:b/>
          <w:bCs/>
          <w:color w:val="75C104"/>
          <w:sz w:val="28"/>
          <w:szCs w:val="28"/>
        </w:rPr>
        <w:t>APIR: IOF0127AU</w:t>
      </w:r>
    </w:p>
    <w:p w14:paraId="7921E68E" w14:textId="77777777" w:rsidR="00004BC9" w:rsidRDefault="00004BC9" w:rsidP="00004BC9">
      <w:pPr>
        <w:pStyle w:val="paragraph"/>
        <w:spacing w:before="0" w:beforeAutospacing="0" w:after="0" w:afterAutospacing="0"/>
        <w:textAlignment w:val="baseline"/>
        <w:rPr>
          <w:rFonts w:ascii="Segoe UI" w:hAnsi="Segoe UI" w:cs="Segoe UI"/>
          <w:color w:val="4A585E"/>
          <w:sz w:val="18"/>
          <w:szCs w:val="18"/>
        </w:rPr>
      </w:pPr>
      <w:r>
        <w:rPr>
          <w:rStyle w:val="eop"/>
          <w:rFonts w:ascii="Arial" w:eastAsiaTheme="majorEastAsia" w:hAnsi="Arial" w:cs="Arial"/>
          <w:color w:val="76C204"/>
          <w:sz w:val="28"/>
          <w:szCs w:val="28"/>
        </w:rPr>
        <w:t> </w:t>
      </w:r>
    </w:p>
    <w:p w14:paraId="2496D68A" w14:textId="77777777" w:rsidR="00004BC9" w:rsidRDefault="00004BC9" w:rsidP="00004BC9">
      <w:pPr>
        <w:pStyle w:val="paragraph"/>
        <w:spacing w:before="0" w:beforeAutospacing="0" w:after="0" w:afterAutospacing="0"/>
        <w:textAlignment w:val="baseline"/>
        <w:rPr>
          <w:rFonts w:ascii="Segoe UI" w:hAnsi="Segoe UI" w:cs="Segoe UI"/>
          <w:color w:val="4A585E"/>
          <w:sz w:val="18"/>
          <w:szCs w:val="18"/>
        </w:rPr>
      </w:pPr>
      <w:r>
        <w:rPr>
          <w:rStyle w:val="normaltextrun"/>
          <w:rFonts w:ascii="Arial" w:eastAsiaTheme="majorEastAsia" w:hAnsi="Arial" w:cs="Arial"/>
          <w:color w:val="76C204"/>
          <w:sz w:val="28"/>
          <w:szCs w:val="28"/>
        </w:rPr>
        <w:t>FUND</w:t>
      </w:r>
      <w:r>
        <w:rPr>
          <w:rStyle w:val="eop"/>
          <w:rFonts w:ascii="Arial" w:eastAsiaTheme="majorEastAsia" w:hAnsi="Arial" w:cs="Arial"/>
          <w:color w:val="76C204"/>
          <w:sz w:val="28"/>
          <w:szCs w:val="28"/>
        </w:rPr>
        <w:t> </w:t>
      </w:r>
    </w:p>
    <w:p w14:paraId="20E4C477" w14:textId="7CB0D1D1" w:rsidR="00004BC9" w:rsidRDefault="00004BC9" w:rsidP="00004BC9">
      <w:pPr>
        <w:pStyle w:val="paragraph"/>
        <w:spacing w:before="0" w:beforeAutospacing="0" w:after="0" w:afterAutospacing="0"/>
        <w:textAlignment w:val="baseline"/>
        <w:rPr>
          <w:rStyle w:val="normaltextrun"/>
          <w:rFonts w:ascii="Arial" w:eastAsiaTheme="majorEastAsia" w:hAnsi="Arial" w:cs="Arial"/>
          <w:color w:val="64777E"/>
          <w:sz w:val="18"/>
          <w:szCs w:val="18"/>
        </w:rPr>
      </w:pPr>
      <w:r>
        <w:rPr>
          <w:rStyle w:val="normaltextrun"/>
          <w:rFonts w:ascii="Arial" w:eastAsiaTheme="majorEastAsia" w:hAnsi="Arial" w:cs="Arial"/>
          <w:color w:val="64777E"/>
          <w:sz w:val="18"/>
          <w:szCs w:val="18"/>
        </w:rPr>
        <w:t xml:space="preserve">The </w:t>
      </w:r>
      <w:r>
        <w:rPr>
          <w:rStyle w:val="normaltextrun"/>
          <w:rFonts w:ascii="Arial" w:eastAsiaTheme="majorEastAsia" w:hAnsi="Arial" w:cs="Arial"/>
          <w:b/>
          <w:bCs/>
          <w:color w:val="64777E"/>
          <w:sz w:val="18"/>
          <w:szCs w:val="18"/>
        </w:rPr>
        <w:t xml:space="preserve">Janus Henderson Diversified Credit Fund </w:t>
      </w:r>
      <w:r>
        <w:rPr>
          <w:rStyle w:val="normaltextrun"/>
          <w:rFonts w:ascii="Arial" w:eastAsiaTheme="majorEastAsia" w:hAnsi="Arial" w:cs="Arial"/>
          <w:color w:val="64777E"/>
          <w:sz w:val="18"/>
          <w:szCs w:val="18"/>
        </w:rPr>
        <w:t xml:space="preserve">(the “Fund”) is managed by Janus Henderson (‘the Manager’) and was incepted in October 2012. Janus Henderson is a global asset manager with a presence across asset classes. </w:t>
      </w:r>
      <w:r w:rsidR="00E0708E">
        <w:rPr>
          <w:rStyle w:val="normaltextrun"/>
          <w:rFonts w:ascii="Arial" w:eastAsiaTheme="majorEastAsia" w:hAnsi="Arial" w:cs="Arial"/>
          <w:color w:val="64777E"/>
          <w:sz w:val="18"/>
          <w:szCs w:val="18"/>
        </w:rPr>
        <w:t xml:space="preserve">  </w:t>
      </w:r>
    </w:p>
    <w:p w14:paraId="1060CA2B" w14:textId="77777777" w:rsidR="00004BC9" w:rsidRDefault="00004BC9" w:rsidP="00004BC9">
      <w:pPr>
        <w:pStyle w:val="paragraph"/>
        <w:spacing w:before="0" w:beforeAutospacing="0" w:after="0" w:afterAutospacing="0"/>
        <w:textAlignment w:val="baseline"/>
        <w:rPr>
          <w:rStyle w:val="normaltextrun"/>
          <w:rFonts w:ascii="Arial" w:eastAsiaTheme="majorEastAsia" w:hAnsi="Arial" w:cs="Arial"/>
          <w:color w:val="64777E"/>
          <w:sz w:val="18"/>
          <w:szCs w:val="18"/>
        </w:rPr>
      </w:pPr>
    </w:p>
    <w:p w14:paraId="0590C594" w14:textId="0D85B32D" w:rsidR="00004BC9" w:rsidRDefault="00004BC9" w:rsidP="00004BC9">
      <w:pPr>
        <w:pStyle w:val="paragraph"/>
        <w:spacing w:before="0" w:beforeAutospacing="0" w:after="0" w:afterAutospacing="0"/>
        <w:textAlignment w:val="baseline"/>
        <w:rPr>
          <w:rStyle w:val="normaltextrun"/>
          <w:rFonts w:ascii="Arial" w:eastAsiaTheme="majorEastAsia" w:hAnsi="Arial" w:cs="Arial"/>
          <w:color w:val="64777E"/>
          <w:sz w:val="18"/>
          <w:szCs w:val="18"/>
        </w:rPr>
      </w:pPr>
      <w:r>
        <w:rPr>
          <w:rStyle w:val="normaltextrun"/>
          <w:rFonts w:ascii="Arial" w:eastAsiaTheme="majorEastAsia" w:hAnsi="Arial" w:cs="Arial"/>
          <w:color w:val="64777E"/>
          <w:sz w:val="18"/>
          <w:szCs w:val="18"/>
        </w:rPr>
        <w:t>The Fund is an</w:t>
      </w:r>
      <w:r w:rsidRPr="00004BC9">
        <w:rPr>
          <w:rStyle w:val="normaltextrun"/>
          <w:rFonts w:ascii="Arial" w:eastAsiaTheme="majorEastAsia" w:hAnsi="Arial" w:cs="Arial"/>
          <w:color w:val="64777E"/>
          <w:sz w:val="18"/>
          <w:szCs w:val="18"/>
        </w:rPr>
        <w:t xml:space="preserve"> actively managed portfolio of Australian and global higher yielding </w:t>
      </w:r>
      <w:r>
        <w:rPr>
          <w:rStyle w:val="normaltextrun"/>
          <w:rFonts w:ascii="Arial" w:eastAsiaTheme="majorEastAsia" w:hAnsi="Arial" w:cs="Arial"/>
          <w:color w:val="64777E"/>
          <w:sz w:val="18"/>
          <w:szCs w:val="18"/>
        </w:rPr>
        <w:t xml:space="preserve">fixed interest </w:t>
      </w:r>
      <w:r w:rsidRPr="00004BC9">
        <w:rPr>
          <w:rStyle w:val="normaltextrun"/>
          <w:rFonts w:ascii="Arial" w:eastAsiaTheme="majorEastAsia" w:hAnsi="Arial" w:cs="Arial"/>
          <w:color w:val="64777E"/>
          <w:sz w:val="18"/>
          <w:szCs w:val="18"/>
        </w:rPr>
        <w:t>securities that seeks to provide investors with a diversified exposur</w:t>
      </w:r>
      <w:r>
        <w:rPr>
          <w:rStyle w:val="normaltextrun"/>
          <w:rFonts w:ascii="Arial" w:eastAsiaTheme="majorEastAsia" w:hAnsi="Arial" w:cs="Arial"/>
          <w:color w:val="64777E"/>
          <w:sz w:val="18"/>
          <w:szCs w:val="18"/>
        </w:rPr>
        <w:t>e</w:t>
      </w:r>
      <w:r w:rsidRPr="00004BC9">
        <w:rPr>
          <w:rStyle w:val="normaltextrun"/>
          <w:rFonts w:ascii="Arial" w:eastAsiaTheme="majorEastAsia" w:hAnsi="Arial" w:cs="Arial"/>
          <w:color w:val="64777E"/>
          <w:sz w:val="18"/>
          <w:szCs w:val="18"/>
        </w:rPr>
        <w:t>.</w:t>
      </w:r>
      <w:r>
        <w:rPr>
          <w:rStyle w:val="normaltextrun"/>
          <w:rFonts w:ascii="Arial" w:eastAsiaTheme="majorEastAsia" w:hAnsi="Arial" w:cs="Arial"/>
          <w:color w:val="64777E"/>
          <w:sz w:val="18"/>
          <w:szCs w:val="18"/>
        </w:rPr>
        <w:t xml:space="preserve"> </w:t>
      </w:r>
      <w:r w:rsidRPr="00004BC9">
        <w:rPr>
          <w:rStyle w:val="normaltextrun"/>
          <w:rFonts w:ascii="Arial" w:eastAsiaTheme="majorEastAsia" w:hAnsi="Arial" w:cs="Arial"/>
          <w:color w:val="64777E"/>
          <w:sz w:val="18"/>
          <w:szCs w:val="18"/>
        </w:rPr>
        <w:t>The Manager’s approach is to determine the overall level of credit and duration risk in the Fund by taking a top-down approach, which considers trends in credit fundamentals, market dynamics and current valuations.</w:t>
      </w:r>
    </w:p>
    <w:p w14:paraId="49D31BE6" w14:textId="77777777" w:rsidR="00004BC9" w:rsidRDefault="00004BC9" w:rsidP="00004BC9">
      <w:pPr>
        <w:pStyle w:val="paragraph"/>
        <w:spacing w:before="0" w:beforeAutospacing="0" w:after="0" w:afterAutospacing="0"/>
        <w:textAlignment w:val="baseline"/>
        <w:rPr>
          <w:rStyle w:val="normaltextrun"/>
          <w:rFonts w:ascii="Arial" w:eastAsiaTheme="majorEastAsia" w:hAnsi="Arial" w:cs="Arial"/>
          <w:color w:val="76C204"/>
          <w:sz w:val="28"/>
          <w:szCs w:val="28"/>
        </w:rPr>
      </w:pPr>
    </w:p>
    <w:p w14:paraId="6D69CD6C" w14:textId="77777777" w:rsidR="00004BC9" w:rsidRDefault="00004BC9" w:rsidP="00004BC9">
      <w:pPr>
        <w:pStyle w:val="paragraph"/>
        <w:spacing w:before="0" w:beforeAutospacing="0" w:after="0" w:afterAutospacing="0"/>
        <w:textAlignment w:val="baseline"/>
        <w:rPr>
          <w:rFonts w:ascii="Segoe UI" w:hAnsi="Segoe UI" w:cs="Segoe UI"/>
          <w:color w:val="4A585E"/>
          <w:sz w:val="18"/>
          <w:szCs w:val="18"/>
        </w:rPr>
      </w:pPr>
      <w:r>
        <w:rPr>
          <w:rStyle w:val="normaltextrun"/>
          <w:rFonts w:ascii="Arial" w:eastAsiaTheme="majorEastAsia" w:hAnsi="Arial" w:cs="Arial"/>
          <w:color w:val="76C204"/>
          <w:sz w:val="28"/>
          <w:szCs w:val="28"/>
        </w:rPr>
        <w:t>INVESTMENT OBJECTIVE</w:t>
      </w:r>
      <w:r>
        <w:rPr>
          <w:rStyle w:val="eop"/>
          <w:rFonts w:ascii="Arial" w:eastAsiaTheme="majorEastAsia" w:hAnsi="Arial" w:cs="Arial"/>
          <w:color w:val="76C204"/>
          <w:sz w:val="28"/>
          <w:szCs w:val="28"/>
        </w:rPr>
        <w:t> </w:t>
      </w:r>
    </w:p>
    <w:p w14:paraId="43C176DF" w14:textId="720FCDD9" w:rsidR="00004BC9" w:rsidRDefault="00004BC9" w:rsidP="00004BC9">
      <w:pPr>
        <w:pStyle w:val="paragraph"/>
        <w:spacing w:before="0" w:beforeAutospacing="0" w:after="0" w:afterAutospacing="0"/>
        <w:textAlignment w:val="baseline"/>
        <w:rPr>
          <w:rStyle w:val="eop"/>
          <w:rFonts w:ascii="Arial" w:eastAsiaTheme="majorEastAsia" w:hAnsi="Arial" w:cs="Arial"/>
          <w:color w:val="64777E"/>
          <w:sz w:val="18"/>
          <w:szCs w:val="18"/>
        </w:rPr>
      </w:pPr>
      <w:r>
        <w:rPr>
          <w:rStyle w:val="eop"/>
          <w:rFonts w:ascii="Arial" w:eastAsiaTheme="majorEastAsia" w:hAnsi="Arial" w:cs="Arial"/>
          <w:color w:val="64777E"/>
          <w:sz w:val="18"/>
          <w:szCs w:val="18"/>
        </w:rPr>
        <w:t xml:space="preserve">The investment objective of the Fund is </w:t>
      </w:r>
      <w:r w:rsidRPr="00004BC9">
        <w:rPr>
          <w:rStyle w:val="eop"/>
          <w:rFonts w:ascii="Arial" w:eastAsiaTheme="majorEastAsia" w:hAnsi="Arial" w:cs="Arial"/>
          <w:color w:val="64777E"/>
          <w:sz w:val="18"/>
          <w:szCs w:val="18"/>
        </w:rPr>
        <w:t xml:space="preserve">to achieve a total return before fees that exceeds the total return of </w:t>
      </w:r>
      <w:r>
        <w:rPr>
          <w:rStyle w:val="eop"/>
          <w:rFonts w:ascii="Arial" w:eastAsiaTheme="majorEastAsia" w:hAnsi="Arial" w:cs="Arial"/>
          <w:color w:val="64777E"/>
          <w:sz w:val="18"/>
          <w:szCs w:val="18"/>
        </w:rPr>
        <w:t>the Bloomberg AusBond Bank Bill Index (‘</w:t>
      </w:r>
      <w:r w:rsidRPr="00004BC9">
        <w:rPr>
          <w:rStyle w:val="eop"/>
          <w:rFonts w:ascii="Arial" w:eastAsiaTheme="majorEastAsia" w:hAnsi="Arial" w:cs="Arial"/>
          <w:color w:val="64777E"/>
          <w:sz w:val="18"/>
          <w:szCs w:val="18"/>
        </w:rPr>
        <w:t>the Benchmark</w:t>
      </w:r>
      <w:r>
        <w:rPr>
          <w:rStyle w:val="eop"/>
          <w:rFonts w:ascii="Arial" w:eastAsiaTheme="majorEastAsia" w:hAnsi="Arial" w:cs="Arial"/>
          <w:color w:val="64777E"/>
          <w:sz w:val="18"/>
          <w:szCs w:val="18"/>
        </w:rPr>
        <w:t>’)</w:t>
      </w:r>
      <w:r w:rsidRPr="00004BC9">
        <w:rPr>
          <w:rStyle w:val="eop"/>
          <w:rFonts w:ascii="Arial" w:eastAsiaTheme="majorEastAsia" w:hAnsi="Arial" w:cs="Arial"/>
          <w:color w:val="64777E"/>
          <w:sz w:val="18"/>
          <w:szCs w:val="18"/>
        </w:rPr>
        <w:t xml:space="preserve"> by 2.00% p.a. over rolling three-year periods</w:t>
      </w:r>
      <w:r>
        <w:rPr>
          <w:rStyle w:val="eop"/>
          <w:rFonts w:ascii="Arial" w:eastAsiaTheme="majorEastAsia" w:hAnsi="Arial" w:cs="Arial"/>
          <w:color w:val="64777E"/>
          <w:sz w:val="18"/>
          <w:szCs w:val="18"/>
        </w:rPr>
        <w:t xml:space="preserve"> (note the benchmark was changed in 2017 from the Bloomberg AusBond Credit FRN 0+ Yr Index)</w:t>
      </w:r>
      <w:r w:rsidRPr="00004BC9">
        <w:rPr>
          <w:rStyle w:val="eop"/>
          <w:rFonts w:ascii="Arial" w:eastAsiaTheme="majorEastAsia" w:hAnsi="Arial" w:cs="Arial"/>
          <w:color w:val="64777E"/>
          <w:sz w:val="18"/>
          <w:szCs w:val="18"/>
        </w:rPr>
        <w:t>.</w:t>
      </w:r>
      <w:r>
        <w:rPr>
          <w:rStyle w:val="eop"/>
          <w:rFonts w:ascii="Arial" w:eastAsiaTheme="majorEastAsia" w:hAnsi="Arial" w:cs="Arial"/>
          <w:color w:val="64777E"/>
          <w:sz w:val="18"/>
          <w:szCs w:val="18"/>
        </w:rPr>
        <w:t xml:space="preserve"> </w:t>
      </w:r>
    </w:p>
    <w:p w14:paraId="74E78B93" w14:textId="2E2C89C8" w:rsidR="00004BC9" w:rsidRDefault="00004BC9" w:rsidP="00004BC9">
      <w:pPr>
        <w:pStyle w:val="paragraph"/>
        <w:spacing w:before="0" w:beforeAutospacing="0" w:after="0" w:afterAutospacing="0"/>
        <w:textAlignment w:val="baseline"/>
        <w:rPr>
          <w:rStyle w:val="eop"/>
          <w:rFonts w:ascii="Arial" w:eastAsiaTheme="majorEastAsia" w:hAnsi="Arial" w:cs="Arial"/>
          <w:color w:val="64777E"/>
          <w:sz w:val="18"/>
          <w:szCs w:val="18"/>
        </w:rPr>
      </w:pPr>
      <w:r>
        <w:rPr>
          <w:rStyle w:val="eop"/>
          <w:rFonts w:ascii="Arial" w:eastAsiaTheme="majorEastAsia" w:hAnsi="Arial" w:cs="Arial"/>
          <w:color w:val="64777E"/>
          <w:sz w:val="18"/>
          <w:szCs w:val="18"/>
        </w:rPr>
        <w:t> </w:t>
      </w:r>
    </w:p>
    <w:p w14:paraId="2E24B2BE" w14:textId="77777777" w:rsidR="00004BC9" w:rsidRPr="00004BC9" w:rsidRDefault="00004BC9" w:rsidP="00004BC9">
      <w:pPr>
        <w:pStyle w:val="paragraph"/>
        <w:spacing w:before="0" w:beforeAutospacing="0" w:after="0" w:afterAutospacing="0"/>
        <w:textAlignment w:val="baseline"/>
        <w:rPr>
          <w:rStyle w:val="normaltextrun"/>
          <w:rFonts w:ascii="Arial" w:eastAsiaTheme="majorEastAsia" w:hAnsi="Arial" w:cs="Arial"/>
          <w:color w:val="64777E"/>
          <w:sz w:val="18"/>
          <w:szCs w:val="18"/>
        </w:rPr>
      </w:pPr>
    </w:p>
    <w:p w14:paraId="71E287CD" w14:textId="77777777" w:rsidR="00004BC9" w:rsidRPr="00027290" w:rsidRDefault="00004BC9" w:rsidP="00004BC9">
      <w:pPr>
        <w:pStyle w:val="paragraph"/>
        <w:spacing w:before="0" w:beforeAutospacing="0" w:after="0" w:afterAutospacing="0"/>
        <w:textAlignment w:val="baseline"/>
        <w:rPr>
          <w:rFonts w:ascii="Segoe UI" w:hAnsi="Segoe UI" w:cs="Segoe UI"/>
          <w:color w:val="4A585E"/>
          <w:sz w:val="18"/>
          <w:szCs w:val="18"/>
        </w:rPr>
      </w:pPr>
      <w:r>
        <w:rPr>
          <w:rStyle w:val="normaltextrun"/>
          <w:rFonts w:ascii="Arial" w:eastAsiaTheme="majorEastAsia" w:hAnsi="Arial" w:cs="Arial"/>
          <w:color w:val="76C204"/>
          <w:sz w:val="28"/>
          <w:szCs w:val="28"/>
        </w:rPr>
        <w:t>GOVERNANCE AND COMPLIANCE</w:t>
      </w:r>
      <w:r>
        <w:rPr>
          <w:rStyle w:val="eop"/>
          <w:rFonts w:ascii="Arial" w:eastAsiaTheme="majorEastAsia" w:hAnsi="Arial" w:cs="Arial"/>
          <w:color w:val="76C204"/>
          <w:sz w:val="28"/>
          <w:szCs w:val="28"/>
        </w:rPr>
        <w:t> </w:t>
      </w:r>
    </w:p>
    <w:p w14:paraId="1A80B7FD" w14:textId="77777777" w:rsidR="00004BC9" w:rsidRPr="00027290" w:rsidRDefault="00004BC9" w:rsidP="00004BC9">
      <w:pPr>
        <w:pBdr>
          <w:top w:val="nil"/>
          <w:left w:val="nil"/>
          <w:bottom w:val="nil"/>
          <w:right w:val="nil"/>
          <w:between w:val="nil"/>
        </w:pBdr>
        <w:spacing w:after="0" w:line="276" w:lineRule="auto"/>
        <w:rPr>
          <w:rFonts w:ascii="Arial" w:eastAsia="Calibri" w:hAnsi="Arial" w:cs="Times New Roman (Body CS)"/>
          <w:color w:val="76C204"/>
          <w:kern w:val="0"/>
          <w:sz w:val="12"/>
          <w:szCs w:val="12"/>
          <w14:ligatures w14:val="none"/>
        </w:rPr>
      </w:pPr>
    </w:p>
    <w:p w14:paraId="571F29C5" w14:textId="77777777" w:rsidR="00004BC9" w:rsidRPr="00F37B2F" w:rsidRDefault="00004BC9" w:rsidP="00004BC9">
      <w:pPr>
        <w:pBdr>
          <w:top w:val="nil"/>
          <w:left w:val="nil"/>
          <w:bottom w:val="nil"/>
          <w:right w:val="nil"/>
          <w:between w:val="nil"/>
        </w:pBdr>
        <w:spacing w:after="0" w:line="276" w:lineRule="auto"/>
        <w:rPr>
          <w:rFonts w:ascii="Arial" w:eastAsia="Calibri" w:hAnsi="Arial" w:cs="Times New Roman (Body CS)"/>
          <w:color w:val="76C204"/>
          <w:kern w:val="0"/>
          <w:sz w:val="22"/>
          <w:szCs w:val="22"/>
          <w14:ligatures w14:val="none"/>
        </w:rPr>
      </w:pPr>
      <w:r w:rsidRPr="00F37B2F">
        <w:rPr>
          <w:rFonts w:ascii="Arial" w:eastAsia="Calibri" w:hAnsi="Arial" w:cs="Times New Roman (Body CS)"/>
          <w:color w:val="76C204"/>
          <w:kern w:val="0"/>
          <w:sz w:val="22"/>
          <w:szCs w:val="22"/>
          <w14:ligatures w14:val="none"/>
        </w:rPr>
        <w:t>Responsible Entity</w:t>
      </w:r>
    </w:p>
    <w:p w14:paraId="619241A2" w14:textId="0124EC50" w:rsidR="00004BC9" w:rsidRDefault="00004BC9" w:rsidP="00004BC9">
      <w:pPr>
        <w:autoSpaceDE w:val="0"/>
        <w:autoSpaceDN w:val="0"/>
        <w:adjustRightInd w:val="0"/>
        <w:spacing w:after="0" w:line="276" w:lineRule="auto"/>
        <w:rPr>
          <w:rFonts w:ascii="Arial" w:eastAsia="Arial" w:hAnsi="Arial" w:cs="Arial"/>
          <w:color w:val="64777E"/>
          <w:kern w:val="0"/>
          <w:sz w:val="18"/>
          <w:szCs w:val="18"/>
          <w:lang w:eastAsia="en-GB"/>
          <w14:ligatures w14:val="none"/>
        </w:rPr>
      </w:pPr>
      <w:r>
        <w:rPr>
          <w:rFonts w:ascii="Arial" w:eastAsia="Arial" w:hAnsi="Arial" w:cs="Arial"/>
          <w:color w:val="64777E"/>
          <w:kern w:val="0"/>
          <w:sz w:val="18"/>
          <w:szCs w:val="18"/>
          <w:lang w:eastAsia="en-GB"/>
          <w14:ligatures w14:val="none"/>
        </w:rPr>
        <w:t xml:space="preserve">Janus Henderson (‘the RE’) is the Responsible Entity of the Janus Henderson Diversified Credit Fund. This is a related party RE and thus has the potential to lead to conflicts of interest, pleasingly there has been no adverse findings since the inception of the relationship. </w:t>
      </w:r>
    </w:p>
    <w:p w14:paraId="42ECC03D" w14:textId="77777777" w:rsidR="00004BC9" w:rsidRPr="00027290" w:rsidRDefault="00004BC9" w:rsidP="00004BC9">
      <w:pPr>
        <w:autoSpaceDE w:val="0"/>
        <w:autoSpaceDN w:val="0"/>
        <w:adjustRightInd w:val="0"/>
        <w:spacing w:after="0" w:line="276" w:lineRule="auto"/>
        <w:rPr>
          <w:rFonts w:ascii="Arial" w:eastAsia="Arial" w:hAnsi="Arial" w:cs="Arial"/>
          <w:color w:val="64777E"/>
          <w:kern w:val="0"/>
          <w:sz w:val="10"/>
          <w:szCs w:val="10"/>
          <w:lang w:eastAsia="en-GB"/>
          <w14:ligatures w14:val="none"/>
        </w:rPr>
      </w:pPr>
    </w:p>
    <w:p w14:paraId="0F97BC94" w14:textId="77777777" w:rsidR="00004BC9" w:rsidRDefault="00004BC9" w:rsidP="00004BC9">
      <w:pPr>
        <w:pBdr>
          <w:top w:val="nil"/>
          <w:left w:val="nil"/>
          <w:bottom w:val="nil"/>
          <w:right w:val="nil"/>
          <w:between w:val="nil"/>
        </w:pBdr>
        <w:spacing w:after="0" w:line="276" w:lineRule="auto"/>
        <w:rPr>
          <w:rFonts w:ascii="Arial" w:eastAsia="Calibri" w:hAnsi="Arial" w:cs="Times New Roman (Body CS)"/>
          <w:color w:val="76C204"/>
          <w:kern w:val="0"/>
          <w:sz w:val="22"/>
          <w:szCs w:val="22"/>
          <w14:ligatures w14:val="none"/>
        </w:rPr>
      </w:pPr>
      <w:r w:rsidRPr="00B37E61">
        <w:rPr>
          <w:rFonts w:ascii="Arial" w:eastAsia="Calibri" w:hAnsi="Arial" w:cs="Times New Roman (Body CS)"/>
          <w:color w:val="76C204"/>
          <w:kern w:val="0"/>
          <w:sz w:val="22"/>
          <w:szCs w:val="22"/>
          <w14:ligatures w14:val="none"/>
        </w:rPr>
        <w:t>Compliance</w:t>
      </w:r>
    </w:p>
    <w:p w14:paraId="4B2A3A21" w14:textId="77777777" w:rsidR="00004BC9" w:rsidRDefault="00004BC9" w:rsidP="00004BC9">
      <w:pPr>
        <w:pBdr>
          <w:top w:val="nil"/>
          <w:left w:val="nil"/>
          <w:bottom w:val="nil"/>
          <w:right w:val="nil"/>
          <w:between w:val="nil"/>
        </w:pBdr>
        <w:spacing w:after="0" w:line="276" w:lineRule="auto"/>
        <w:rPr>
          <w:rFonts w:ascii="Arial" w:eastAsia="Arial" w:hAnsi="Arial" w:cs="Arial"/>
          <w:color w:val="64777E"/>
          <w:kern w:val="0"/>
          <w:sz w:val="18"/>
          <w:szCs w:val="18"/>
          <w14:ligatures w14:val="none"/>
        </w:rPr>
      </w:pPr>
      <w:r w:rsidRPr="00B37E61">
        <w:rPr>
          <w:rFonts w:ascii="Arial" w:eastAsia="Arial" w:hAnsi="Arial" w:cs="Arial"/>
          <w:color w:val="64777E"/>
          <w:kern w:val="0"/>
          <w:sz w:val="18"/>
          <w:szCs w:val="18"/>
          <w14:ligatures w14:val="none"/>
        </w:rPr>
        <w:t>The Responsible Entity’s Compliance Committee is responsible for overall compliance as part of its function in forming long-term alliances and supporting a stable of investment management businesses.</w:t>
      </w:r>
    </w:p>
    <w:p w14:paraId="2E04DEF4" w14:textId="77777777" w:rsidR="00004BC9" w:rsidRDefault="00004BC9" w:rsidP="00004BC9">
      <w:pPr>
        <w:pBdr>
          <w:top w:val="nil"/>
          <w:left w:val="nil"/>
          <w:bottom w:val="nil"/>
          <w:right w:val="nil"/>
          <w:between w:val="nil"/>
        </w:pBdr>
        <w:spacing w:after="0" w:line="276" w:lineRule="auto"/>
        <w:rPr>
          <w:rFonts w:ascii="Arial" w:eastAsia="Arial" w:hAnsi="Arial" w:cs="Arial"/>
          <w:color w:val="64777E"/>
          <w:kern w:val="0"/>
          <w:sz w:val="18"/>
          <w:szCs w:val="18"/>
          <w14:ligatures w14:val="none"/>
        </w:rPr>
      </w:pPr>
    </w:p>
    <w:p w14:paraId="0BE9FDC0" w14:textId="77777777" w:rsidR="00004BC9" w:rsidRPr="00B37E61" w:rsidRDefault="00004BC9" w:rsidP="00004BC9">
      <w:pPr>
        <w:pBdr>
          <w:top w:val="nil"/>
          <w:left w:val="nil"/>
          <w:bottom w:val="nil"/>
          <w:right w:val="nil"/>
          <w:between w:val="nil"/>
        </w:pBdr>
        <w:spacing w:after="120" w:line="276" w:lineRule="auto"/>
        <w:rPr>
          <w:rFonts w:ascii="Arial" w:eastAsia="Calibri" w:hAnsi="Arial" w:cs="Times New Roman (Body CS)"/>
          <w:color w:val="76C204"/>
          <w:kern w:val="0"/>
          <w:sz w:val="28"/>
          <w:szCs w:val="28"/>
          <w14:ligatures w14:val="none"/>
        </w:rPr>
      </w:pPr>
      <w:r w:rsidRPr="00B37E61">
        <w:rPr>
          <w:rFonts w:ascii="Arial" w:eastAsia="Calibri" w:hAnsi="Arial" w:cs="Times New Roman (Body CS)"/>
          <w:color w:val="76C204"/>
          <w:kern w:val="0"/>
          <w:sz w:val="28"/>
          <w:szCs w:val="28"/>
          <w14:ligatures w14:val="none"/>
        </w:rPr>
        <w:t xml:space="preserve">FUNDS UNDER MANAGEMENT </w:t>
      </w:r>
    </w:p>
    <w:p w14:paraId="2AB870B0" w14:textId="091440A0" w:rsidR="00004BC9" w:rsidRDefault="00004BC9" w:rsidP="00004BC9">
      <w:pPr>
        <w:numPr>
          <w:ilvl w:val="0"/>
          <w:numId w:val="1"/>
        </w:numPr>
        <w:pBdr>
          <w:top w:val="nil"/>
          <w:left w:val="nil"/>
          <w:bottom w:val="nil"/>
          <w:right w:val="nil"/>
          <w:between w:val="nil"/>
        </w:pBdr>
        <w:autoSpaceDE w:val="0"/>
        <w:autoSpaceDN w:val="0"/>
        <w:adjustRightInd w:val="0"/>
        <w:spacing w:after="0" w:line="240" w:lineRule="auto"/>
        <w:rPr>
          <w:rFonts w:ascii="Arial" w:eastAsia="Arial" w:hAnsi="Arial" w:cs="Times New Roman (Body CS)"/>
          <w:color w:val="64777E"/>
          <w:kern w:val="0"/>
          <w:sz w:val="18"/>
          <w:szCs w:val="22"/>
          <w14:ligatures w14:val="none"/>
        </w:rPr>
      </w:pPr>
      <w:r>
        <w:rPr>
          <w:rFonts w:ascii="Arial" w:eastAsia="Arial" w:hAnsi="Arial" w:cs="Times New Roman (Body CS)"/>
          <w:color w:val="64777E"/>
          <w:kern w:val="0"/>
          <w:sz w:val="18"/>
          <w:szCs w:val="22"/>
          <w14:ligatures w14:val="none"/>
        </w:rPr>
        <w:t xml:space="preserve">Janus Henderson Firmwide AUM = $540.5bn </w:t>
      </w:r>
    </w:p>
    <w:p w14:paraId="00C7E3C9" w14:textId="751CADFB" w:rsidR="00004BC9" w:rsidRDefault="00004BC9" w:rsidP="00004BC9">
      <w:pPr>
        <w:numPr>
          <w:ilvl w:val="0"/>
          <w:numId w:val="1"/>
        </w:numPr>
        <w:pBdr>
          <w:top w:val="nil"/>
          <w:left w:val="nil"/>
          <w:bottom w:val="nil"/>
          <w:right w:val="nil"/>
          <w:between w:val="nil"/>
        </w:pBdr>
        <w:autoSpaceDE w:val="0"/>
        <w:autoSpaceDN w:val="0"/>
        <w:adjustRightInd w:val="0"/>
        <w:spacing w:after="0" w:line="240" w:lineRule="auto"/>
        <w:rPr>
          <w:rFonts w:ascii="Arial" w:eastAsia="Arial" w:hAnsi="Arial" w:cs="Times New Roman (Body CS)"/>
          <w:color w:val="64777E"/>
          <w:kern w:val="0"/>
          <w:sz w:val="18"/>
          <w:szCs w:val="22"/>
          <w14:ligatures w14:val="none"/>
        </w:rPr>
      </w:pPr>
      <w:r>
        <w:rPr>
          <w:rFonts w:ascii="Arial" w:eastAsia="Arial" w:hAnsi="Arial" w:cs="Times New Roman (Body CS)"/>
          <w:color w:val="64777E"/>
          <w:kern w:val="0"/>
          <w:sz w:val="18"/>
          <w:szCs w:val="22"/>
          <w14:ligatures w14:val="none"/>
        </w:rPr>
        <w:t>Janus Henderson Fixed Income AUM = $108bn</w:t>
      </w:r>
    </w:p>
    <w:p w14:paraId="2FDBDECD" w14:textId="298F6D71" w:rsidR="00004BC9" w:rsidRDefault="00004BC9" w:rsidP="00004BC9">
      <w:pPr>
        <w:numPr>
          <w:ilvl w:val="0"/>
          <w:numId w:val="1"/>
        </w:numPr>
        <w:pBdr>
          <w:top w:val="nil"/>
          <w:left w:val="nil"/>
          <w:bottom w:val="nil"/>
          <w:right w:val="nil"/>
          <w:between w:val="nil"/>
        </w:pBdr>
        <w:autoSpaceDE w:val="0"/>
        <w:autoSpaceDN w:val="0"/>
        <w:adjustRightInd w:val="0"/>
        <w:spacing w:after="0" w:line="240" w:lineRule="auto"/>
        <w:rPr>
          <w:rFonts w:ascii="Arial" w:eastAsia="Arial" w:hAnsi="Arial" w:cs="Times New Roman (Body CS)"/>
          <w:color w:val="64777E"/>
          <w:kern w:val="0"/>
          <w:sz w:val="18"/>
          <w:szCs w:val="22"/>
          <w14:ligatures w14:val="none"/>
        </w:rPr>
      </w:pPr>
      <w:r>
        <w:rPr>
          <w:rFonts w:ascii="Arial" w:eastAsia="Arial" w:hAnsi="Arial" w:cs="Times New Roman (Body CS)"/>
          <w:color w:val="64777E"/>
          <w:kern w:val="0"/>
          <w:sz w:val="18"/>
          <w:szCs w:val="22"/>
          <w14:ligatures w14:val="none"/>
        </w:rPr>
        <w:t>Janus Henderson Diversified Credit Fund AUM = $1bn</w:t>
      </w:r>
    </w:p>
    <w:p w14:paraId="38367FF8" w14:textId="77777777" w:rsidR="00004BC9" w:rsidRDefault="00004BC9" w:rsidP="00004BC9">
      <w:pPr>
        <w:pBdr>
          <w:top w:val="nil"/>
          <w:left w:val="nil"/>
          <w:bottom w:val="nil"/>
          <w:right w:val="nil"/>
          <w:between w:val="nil"/>
        </w:pBdr>
        <w:autoSpaceDE w:val="0"/>
        <w:autoSpaceDN w:val="0"/>
        <w:adjustRightInd w:val="0"/>
        <w:spacing w:after="0" w:line="240" w:lineRule="auto"/>
        <w:rPr>
          <w:rFonts w:ascii="Arial" w:eastAsia="Arial" w:hAnsi="Arial" w:cs="Times New Roman (Body CS)"/>
          <w:color w:val="64777E"/>
          <w:kern w:val="0"/>
          <w:sz w:val="18"/>
          <w:szCs w:val="22"/>
          <w14:ligatures w14:val="none"/>
        </w:rPr>
      </w:pPr>
    </w:p>
    <w:p w14:paraId="04AB9AEB" w14:textId="7F34583D" w:rsidR="00004BC9" w:rsidRDefault="00784786" w:rsidP="00004BC9">
      <w:pPr>
        <w:pBdr>
          <w:top w:val="nil"/>
          <w:left w:val="nil"/>
          <w:bottom w:val="nil"/>
          <w:right w:val="nil"/>
          <w:between w:val="nil"/>
        </w:pBdr>
        <w:autoSpaceDE w:val="0"/>
        <w:autoSpaceDN w:val="0"/>
        <w:adjustRightInd w:val="0"/>
        <w:spacing w:after="0" w:line="240" w:lineRule="auto"/>
        <w:rPr>
          <w:rFonts w:ascii="Arial" w:eastAsia="Arial" w:hAnsi="Arial" w:cs="Times New Roman (Body CS)"/>
          <w:color w:val="64777E"/>
          <w:kern w:val="0"/>
          <w:sz w:val="18"/>
          <w:szCs w:val="22"/>
          <w14:ligatures w14:val="none"/>
        </w:rPr>
      </w:pPr>
      <w:r>
        <w:rPr>
          <w:rFonts w:ascii="Arial" w:eastAsia="Arial" w:hAnsi="Arial" w:cs="Times New Roman (Body CS)"/>
          <w:color w:val="64777E"/>
          <w:kern w:val="0"/>
          <w:sz w:val="18"/>
          <w:szCs w:val="22"/>
          <w14:ligatures w14:val="none"/>
        </w:rPr>
        <w:t xml:space="preserve">Janus Henderson is a large global manager and is responsible for a substantial amount of AUM. The manager has AUM diversified across asset classes and sub-asset classes and has grown in a sustainable manner. Additionally, the manager has a high degree of representation across client types and client locations. There are no concerns regarding business risk and FUM flow. </w:t>
      </w:r>
    </w:p>
    <w:p w14:paraId="0F7A5350" w14:textId="77777777" w:rsidR="00004BC9" w:rsidRDefault="00004BC9" w:rsidP="00004BC9">
      <w:pPr>
        <w:pBdr>
          <w:top w:val="nil"/>
          <w:left w:val="nil"/>
          <w:bottom w:val="nil"/>
          <w:right w:val="nil"/>
          <w:between w:val="nil"/>
        </w:pBdr>
        <w:autoSpaceDE w:val="0"/>
        <w:autoSpaceDN w:val="0"/>
        <w:adjustRightInd w:val="0"/>
        <w:spacing w:after="0" w:line="240" w:lineRule="auto"/>
        <w:ind w:left="720"/>
        <w:rPr>
          <w:rFonts w:ascii="Arial" w:eastAsia="Arial" w:hAnsi="Arial" w:cs="Times New Roman (Body CS)"/>
          <w:color w:val="64777E"/>
          <w:kern w:val="0"/>
          <w:sz w:val="18"/>
          <w:szCs w:val="22"/>
          <w14:ligatures w14:val="none"/>
        </w:rPr>
      </w:pPr>
    </w:p>
    <w:p w14:paraId="51A1AC00" w14:textId="77777777" w:rsidR="00004BC9" w:rsidRDefault="00004BC9" w:rsidP="00004BC9">
      <w:pPr>
        <w:pBdr>
          <w:top w:val="nil"/>
          <w:left w:val="nil"/>
          <w:bottom w:val="nil"/>
          <w:right w:val="nil"/>
          <w:between w:val="nil"/>
        </w:pBdr>
        <w:autoSpaceDE w:val="0"/>
        <w:autoSpaceDN w:val="0"/>
        <w:adjustRightInd w:val="0"/>
        <w:spacing w:after="0" w:line="240" w:lineRule="auto"/>
        <w:rPr>
          <w:rFonts w:ascii="Arial" w:eastAsia="Arial" w:hAnsi="Arial" w:cs="Times New Roman (Body CS)"/>
          <w:color w:val="64777E"/>
          <w:kern w:val="0"/>
          <w:sz w:val="18"/>
          <w:szCs w:val="22"/>
          <w14:ligatures w14:val="none"/>
        </w:rPr>
      </w:pPr>
    </w:p>
    <w:p w14:paraId="7992A93D" w14:textId="77777777" w:rsidR="00784786" w:rsidRDefault="00784786" w:rsidP="00004BC9">
      <w:pPr>
        <w:pBdr>
          <w:top w:val="nil"/>
          <w:left w:val="nil"/>
          <w:bottom w:val="nil"/>
          <w:right w:val="nil"/>
          <w:between w:val="nil"/>
        </w:pBdr>
        <w:autoSpaceDE w:val="0"/>
        <w:autoSpaceDN w:val="0"/>
        <w:adjustRightInd w:val="0"/>
        <w:spacing w:after="0" w:line="240" w:lineRule="auto"/>
        <w:rPr>
          <w:rFonts w:ascii="Arial" w:eastAsia="Arial" w:hAnsi="Arial" w:cs="Times New Roman (Body CS)"/>
          <w:color w:val="64777E"/>
          <w:kern w:val="0"/>
          <w:sz w:val="18"/>
          <w:szCs w:val="22"/>
          <w14:ligatures w14:val="none"/>
        </w:rPr>
      </w:pPr>
    </w:p>
    <w:p w14:paraId="0C38D43E" w14:textId="77777777" w:rsidR="00784786" w:rsidRDefault="00784786" w:rsidP="00004BC9">
      <w:pPr>
        <w:pBdr>
          <w:top w:val="nil"/>
          <w:left w:val="nil"/>
          <w:bottom w:val="nil"/>
          <w:right w:val="nil"/>
          <w:between w:val="nil"/>
        </w:pBdr>
        <w:autoSpaceDE w:val="0"/>
        <w:autoSpaceDN w:val="0"/>
        <w:adjustRightInd w:val="0"/>
        <w:spacing w:after="0" w:line="240" w:lineRule="auto"/>
        <w:rPr>
          <w:rFonts w:ascii="Arial" w:eastAsia="Arial" w:hAnsi="Arial" w:cs="Times New Roman (Body CS)"/>
          <w:color w:val="64777E"/>
          <w:kern w:val="0"/>
          <w:sz w:val="18"/>
          <w:szCs w:val="22"/>
          <w14:ligatures w14:val="none"/>
        </w:rPr>
      </w:pPr>
    </w:p>
    <w:p w14:paraId="7213C6D0" w14:textId="77777777" w:rsidR="00784786" w:rsidRDefault="00784786" w:rsidP="00004BC9">
      <w:pPr>
        <w:pBdr>
          <w:top w:val="nil"/>
          <w:left w:val="nil"/>
          <w:bottom w:val="nil"/>
          <w:right w:val="nil"/>
          <w:between w:val="nil"/>
        </w:pBdr>
        <w:autoSpaceDE w:val="0"/>
        <w:autoSpaceDN w:val="0"/>
        <w:adjustRightInd w:val="0"/>
        <w:spacing w:after="0" w:line="240" w:lineRule="auto"/>
        <w:rPr>
          <w:rFonts w:ascii="Arial" w:eastAsia="Arial" w:hAnsi="Arial" w:cs="Times New Roman (Body CS)"/>
          <w:color w:val="64777E"/>
          <w:kern w:val="0"/>
          <w:sz w:val="18"/>
          <w:szCs w:val="22"/>
          <w14:ligatures w14:val="none"/>
        </w:rPr>
      </w:pPr>
    </w:p>
    <w:p w14:paraId="69B46F55" w14:textId="77777777" w:rsidR="00784786" w:rsidRDefault="00784786" w:rsidP="00004BC9">
      <w:pPr>
        <w:pBdr>
          <w:top w:val="nil"/>
          <w:left w:val="nil"/>
          <w:bottom w:val="nil"/>
          <w:right w:val="nil"/>
          <w:between w:val="nil"/>
        </w:pBdr>
        <w:autoSpaceDE w:val="0"/>
        <w:autoSpaceDN w:val="0"/>
        <w:adjustRightInd w:val="0"/>
        <w:spacing w:after="0" w:line="240" w:lineRule="auto"/>
        <w:rPr>
          <w:rFonts w:ascii="Arial" w:eastAsia="Arial" w:hAnsi="Arial" w:cs="Times New Roman (Body CS)"/>
          <w:color w:val="64777E"/>
          <w:kern w:val="0"/>
          <w:sz w:val="18"/>
          <w:szCs w:val="22"/>
          <w14:ligatures w14:val="none"/>
        </w:rPr>
      </w:pPr>
    </w:p>
    <w:p w14:paraId="487AE54E" w14:textId="77777777" w:rsidR="00784786" w:rsidRDefault="00784786" w:rsidP="00004BC9">
      <w:pPr>
        <w:pBdr>
          <w:top w:val="nil"/>
          <w:left w:val="nil"/>
          <w:bottom w:val="nil"/>
          <w:right w:val="nil"/>
          <w:between w:val="nil"/>
        </w:pBdr>
        <w:autoSpaceDE w:val="0"/>
        <w:autoSpaceDN w:val="0"/>
        <w:adjustRightInd w:val="0"/>
        <w:spacing w:after="0" w:line="240" w:lineRule="auto"/>
        <w:rPr>
          <w:rFonts w:ascii="Arial" w:eastAsia="Arial" w:hAnsi="Arial" w:cs="Times New Roman (Body CS)"/>
          <w:color w:val="64777E"/>
          <w:kern w:val="0"/>
          <w:sz w:val="18"/>
          <w:szCs w:val="22"/>
          <w14:ligatures w14:val="none"/>
        </w:rPr>
      </w:pPr>
    </w:p>
    <w:p w14:paraId="158444F9" w14:textId="77777777" w:rsidR="00784786" w:rsidRDefault="00784786" w:rsidP="00004BC9">
      <w:pPr>
        <w:pBdr>
          <w:top w:val="nil"/>
          <w:left w:val="nil"/>
          <w:bottom w:val="nil"/>
          <w:right w:val="nil"/>
          <w:between w:val="nil"/>
        </w:pBdr>
        <w:autoSpaceDE w:val="0"/>
        <w:autoSpaceDN w:val="0"/>
        <w:adjustRightInd w:val="0"/>
        <w:spacing w:after="0" w:line="240" w:lineRule="auto"/>
        <w:rPr>
          <w:rFonts w:ascii="Arial" w:eastAsia="Arial" w:hAnsi="Arial" w:cs="Times New Roman (Body CS)"/>
          <w:color w:val="64777E"/>
          <w:kern w:val="0"/>
          <w:sz w:val="18"/>
          <w:szCs w:val="22"/>
          <w14:ligatures w14:val="none"/>
        </w:rPr>
      </w:pPr>
    </w:p>
    <w:p w14:paraId="42506281" w14:textId="77777777" w:rsidR="00004BC9" w:rsidRDefault="00004BC9" w:rsidP="00004BC9">
      <w:pPr>
        <w:pBdr>
          <w:top w:val="nil"/>
          <w:left w:val="nil"/>
          <w:bottom w:val="nil"/>
          <w:right w:val="nil"/>
          <w:between w:val="nil"/>
        </w:pBdr>
        <w:autoSpaceDE w:val="0"/>
        <w:autoSpaceDN w:val="0"/>
        <w:adjustRightInd w:val="0"/>
        <w:spacing w:after="0" w:line="240" w:lineRule="auto"/>
        <w:rPr>
          <w:rFonts w:ascii="Arial" w:eastAsia="Arial" w:hAnsi="Arial" w:cs="Times New Roman (Body CS)"/>
          <w:color w:val="64777E"/>
          <w:kern w:val="0"/>
          <w:sz w:val="18"/>
          <w:szCs w:val="22"/>
          <w14:ligatures w14:val="none"/>
        </w:rPr>
      </w:pPr>
    </w:p>
    <w:p w14:paraId="20DFB4EC" w14:textId="77777777" w:rsidR="00004BC9" w:rsidRDefault="00004BC9" w:rsidP="00004BC9">
      <w:pPr>
        <w:pBdr>
          <w:top w:val="nil"/>
          <w:left w:val="nil"/>
          <w:bottom w:val="nil"/>
          <w:right w:val="nil"/>
          <w:between w:val="nil"/>
        </w:pBdr>
        <w:autoSpaceDE w:val="0"/>
        <w:autoSpaceDN w:val="0"/>
        <w:adjustRightInd w:val="0"/>
        <w:spacing w:after="0" w:line="240" w:lineRule="auto"/>
        <w:rPr>
          <w:rFonts w:ascii="Arial" w:eastAsia="Arial" w:hAnsi="Arial" w:cs="Times New Roman (Body CS)"/>
          <w:color w:val="64777E"/>
          <w:kern w:val="0"/>
          <w:sz w:val="18"/>
          <w:szCs w:val="22"/>
          <w14:ligatures w14:val="none"/>
        </w:rPr>
      </w:pPr>
    </w:p>
    <w:p w14:paraId="412C9534" w14:textId="77777777" w:rsidR="00004BC9" w:rsidRDefault="00004BC9" w:rsidP="00004BC9">
      <w:pPr>
        <w:pBdr>
          <w:top w:val="nil"/>
          <w:left w:val="nil"/>
          <w:bottom w:val="nil"/>
          <w:right w:val="nil"/>
          <w:between w:val="nil"/>
        </w:pBdr>
        <w:autoSpaceDE w:val="0"/>
        <w:autoSpaceDN w:val="0"/>
        <w:adjustRightInd w:val="0"/>
        <w:spacing w:after="0" w:line="240" w:lineRule="auto"/>
        <w:rPr>
          <w:rFonts w:ascii="Arial" w:eastAsia="Arial" w:hAnsi="Arial" w:cs="Times New Roman (Body CS)"/>
          <w:color w:val="64777E"/>
          <w:kern w:val="0"/>
          <w:sz w:val="18"/>
          <w:szCs w:val="22"/>
          <w14:ligatures w14:val="none"/>
        </w:rPr>
      </w:pPr>
    </w:p>
    <w:p w14:paraId="6664D311" w14:textId="77777777" w:rsidR="00004BC9" w:rsidRDefault="00004BC9" w:rsidP="00004BC9">
      <w:pPr>
        <w:pStyle w:val="BasicParagraph"/>
        <w:spacing w:after="0" w:line="276" w:lineRule="auto"/>
        <w:rPr>
          <w:rFonts w:eastAsia="Calibri"/>
          <w:color w:val="76C204"/>
          <w:sz w:val="28"/>
          <w:szCs w:val="28"/>
        </w:rPr>
      </w:pPr>
      <w:r>
        <w:rPr>
          <w:rFonts w:eastAsia="Calibri"/>
          <w:color w:val="76C204"/>
          <w:sz w:val="28"/>
          <w:szCs w:val="28"/>
        </w:rPr>
        <w:lastRenderedPageBreak/>
        <w:t>PRODUCT FEATURES</w:t>
      </w:r>
    </w:p>
    <w:p w14:paraId="45021196" w14:textId="29414A5C" w:rsidR="00004BC9" w:rsidRDefault="00784786" w:rsidP="00004BC9">
      <w:pPr>
        <w:pStyle w:val="BasicParagraph"/>
        <w:spacing w:after="0" w:line="276" w:lineRule="auto"/>
        <w:rPr>
          <w:rFonts w:cs="Arial"/>
          <w:sz w:val="18"/>
          <w:szCs w:val="18"/>
        </w:rPr>
      </w:pPr>
      <w:r w:rsidRPr="00784786">
        <w:rPr>
          <w:rFonts w:cs="Arial"/>
          <w:noProof/>
          <w:sz w:val="18"/>
          <w:szCs w:val="18"/>
        </w:rPr>
        <w:drawing>
          <wp:inline distT="0" distB="0" distL="0" distR="0" wp14:anchorId="3BD44F45" wp14:editId="4179C99C">
            <wp:extent cx="1152525" cy="4113485"/>
            <wp:effectExtent l="0" t="0" r="0" b="1905"/>
            <wp:docPr id="917691673" name="Picture 1" descr="A close-up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691673" name="Picture 1" descr="A close-up of a calendar&#10;&#10;Description automatically generated"/>
                    <pic:cNvPicPr/>
                  </pic:nvPicPr>
                  <pic:blipFill>
                    <a:blip r:embed="rId11"/>
                    <a:stretch>
                      <a:fillRect/>
                    </a:stretch>
                  </pic:blipFill>
                  <pic:spPr>
                    <a:xfrm>
                      <a:off x="0" y="0"/>
                      <a:ext cx="1156082" cy="4126180"/>
                    </a:xfrm>
                    <a:prstGeom prst="rect">
                      <a:avLst/>
                    </a:prstGeom>
                  </pic:spPr>
                </pic:pic>
              </a:graphicData>
            </a:graphic>
          </wp:inline>
        </w:drawing>
      </w:r>
      <w:r>
        <w:rPr>
          <w:rFonts w:cs="Arial"/>
          <w:noProof/>
          <w:sz w:val="18"/>
          <w:szCs w:val="18"/>
        </w:rPr>
        <w:drawing>
          <wp:inline distT="0" distB="0" distL="0" distR="0" wp14:anchorId="606EB2E5" wp14:editId="001F0067">
            <wp:extent cx="1819275" cy="4305935"/>
            <wp:effectExtent l="0" t="0" r="9525" b="0"/>
            <wp:docPr id="740768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19275" cy="4305935"/>
                    </a:xfrm>
                    <a:prstGeom prst="rect">
                      <a:avLst/>
                    </a:prstGeom>
                    <a:noFill/>
                  </pic:spPr>
                </pic:pic>
              </a:graphicData>
            </a:graphic>
          </wp:inline>
        </w:drawing>
      </w:r>
      <w:r w:rsidRPr="00784786">
        <w:rPr>
          <w:rFonts w:cs="Arial"/>
          <w:noProof/>
          <w:sz w:val="18"/>
          <w:szCs w:val="18"/>
        </w:rPr>
        <w:drawing>
          <wp:inline distT="0" distB="0" distL="0" distR="0" wp14:anchorId="48CE7899" wp14:editId="67DEBDF5">
            <wp:extent cx="990738" cy="4305901"/>
            <wp:effectExtent l="0" t="0" r="0" b="0"/>
            <wp:docPr id="2066320442"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320442" name="Picture 1" descr="A screenshot of a cell phone&#10;&#10;Description automatically generated"/>
                    <pic:cNvPicPr/>
                  </pic:nvPicPr>
                  <pic:blipFill>
                    <a:blip r:embed="rId13"/>
                    <a:stretch>
                      <a:fillRect/>
                    </a:stretch>
                  </pic:blipFill>
                  <pic:spPr>
                    <a:xfrm>
                      <a:off x="0" y="0"/>
                      <a:ext cx="990738" cy="4305901"/>
                    </a:xfrm>
                    <a:prstGeom prst="rect">
                      <a:avLst/>
                    </a:prstGeom>
                  </pic:spPr>
                </pic:pic>
              </a:graphicData>
            </a:graphic>
          </wp:inline>
        </w:drawing>
      </w:r>
    </w:p>
    <w:p w14:paraId="18CFF459" w14:textId="52D388A3" w:rsidR="00004BC9" w:rsidRDefault="00004BC9" w:rsidP="00004BC9">
      <w:pPr>
        <w:pStyle w:val="BasicParagraph"/>
        <w:spacing w:after="0" w:line="276" w:lineRule="auto"/>
        <w:rPr>
          <w:rFonts w:cs="Arial"/>
          <w:sz w:val="18"/>
          <w:szCs w:val="18"/>
        </w:rPr>
      </w:pPr>
      <w:r w:rsidRPr="00BD6D00">
        <w:rPr>
          <w:rFonts w:cs="Arial"/>
          <w:sz w:val="18"/>
          <w:szCs w:val="18"/>
        </w:rPr>
        <w:t xml:space="preserve">The Fund is open to investors and available on platforms with </w:t>
      </w:r>
      <w:r w:rsidR="00784786">
        <w:rPr>
          <w:rFonts w:cs="Arial"/>
          <w:sz w:val="18"/>
          <w:szCs w:val="18"/>
        </w:rPr>
        <w:t xml:space="preserve">ample capacity for investment. </w:t>
      </w:r>
      <w:r w:rsidR="005700B9">
        <w:rPr>
          <w:rFonts w:cs="Arial"/>
          <w:sz w:val="18"/>
          <w:szCs w:val="18"/>
        </w:rPr>
        <w:t>The total fee load of 55bps is considered reasonable and at the lower end of the peer group.</w:t>
      </w:r>
    </w:p>
    <w:p w14:paraId="7CDDB932" w14:textId="77777777" w:rsidR="00004BC9" w:rsidRPr="00F3410C" w:rsidRDefault="00004BC9" w:rsidP="00004BC9">
      <w:pPr>
        <w:pStyle w:val="BasicParagraph"/>
        <w:spacing w:after="0" w:line="276" w:lineRule="auto"/>
        <w:rPr>
          <w:rStyle w:val="normaltextrun"/>
          <w:rFonts w:cs="Arial"/>
          <w:sz w:val="18"/>
          <w:szCs w:val="18"/>
        </w:rPr>
      </w:pPr>
    </w:p>
    <w:p w14:paraId="61169C36" w14:textId="77777777" w:rsidR="00004BC9" w:rsidRDefault="00004BC9" w:rsidP="00004BC9">
      <w:pPr>
        <w:pStyle w:val="paragraph"/>
        <w:spacing w:before="0" w:beforeAutospacing="0" w:after="0" w:afterAutospacing="0"/>
        <w:textAlignment w:val="baseline"/>
        <w:rPr>
          <w:rStyle w:val="normaltextrun"/>
          <w:rFonts w:ascii="Arial" w:eastAsiaTheme="majorEastAsia" w:hAnsi="Arial" w:cs="Arial"/>
          <w:color w:val="76C204"/>
          <w:sz w:val="28"/>
          <w:szCs w:val="28"/>
        </w:rPr>
      </w:pPr>
      <w:r>
        <w:rPr>
          <w:rStyle w:val="normaltextrun"/>
          <w:rFonts w:ascii="Arial" w:eastAsiaTheme="majorEastAsia" w:hAnsi="Arial" w:cs="Arial"/>
          <w:color w:val="76C204"/>
          <w:sz w:val="28"/>
          <w:szCs w:val="28"/>
        </w:rPr>
        <w:t>BUSINESS</w:t>
      </w:r>
    </w:p>
    <w:p w14:paraId="613DB734" w14:textId="01E227ED" w:rsidR="00004BC9" w:rsidRDefault="005D63FC" w:rsidP="00004BC9">
      <w:pPr>
        <w:pStyle w:val="paragraph"/>
        <w:spacing w:before="0" w:beforeAutospacing="0" w:after="0" w:afterAutospacing="0"/>
        <w:textAlignment w:val="baseline"/>
        <w:rPr>
          <w:rFonts w:ascii="Arial" w:eastAsia="Arial" w:hAnsi="Arial" w:cs="Arial"/>
          <w:color w:val="64777E"/>
          <w:sz w:val="18"/>
          <w:szCs w:val="18"/>
          <w:lang w:val="en-US" w:eastAsia="en-US"/>
        </w:rPr>
      </w:pPr>
      <w:r w:rsidRPr="005D63FC">
        <w:rPr>
          <w:rFonts w:ascii="Arial" w:eastAsia="Arial" w:hAnsi="Arial" w:cs="Arial"/>
          <w:color w:val="64777E"/>
          <w:sz w:val="18"/>
          <w:szCs w:val="18"/>
          <w:lang w:val="en-US" w:eastAsia="en-US"/>
        </w:rPr>
        <w:t>Janus Henderson was founded in 1969 as an investment manager based in Denver, Colorado. Today, Janus Henderson Group PLC is a publicly traded company on the New York Stock Exchange (NYSE: JHG), boasting a market capitali</w:t>
      </w:r>
      <w:r>
        <w:rPr>
          <w:rFonts w:ascii="Arial" w:eastAsia="Arial" w:hAnsi="Arial" w:cs="Arial"/>
          <w:color w:val="64777E"/>
          <w:sz w:val="18"/>
          <w:szCs w:val="18"/>
          <w:lang w:val="en-US" w:eastAsia="en-US"/>
        </w:rPr>
        <w:t>s</w:t>
      </w:r>
      <w:r w:rsidRPr="005D63FC">
        <w:rPr>
          <w:rFonts w:ascii="Arial" w:eastAsia="Arial" w:hAnsi="Arial" w:cs="Arial"/>
          <w:color w:val="64777E"/>
          <w:sz w:val="18"/>
          <w:szCs w:val="18"/>
          <w:lang w:val="en-US" w:eastAsia="en-US"/>
        </w:rPr>
        <w:t>ation of over $6 billion. While diluted ownership can sometimes be viewed less favorably, Atchison finds reassurance in the company's stability, with a legacy spanning over 90 years and roots tracing back to 1934.</w:t>
      </w:r>
    </w:p>
    <w:p w14:paraId="443A0EA3" w14:textId="77777777" w:rsidR="005D63FC" w:rsidRDefault="005D63FC" w:rsidP="00004BC9">
      <w:pPr>
        <w:pStyle w:val="paragraph"/>
        <w:spacing w:before="0" w:beforeAutospacing="0" w:after="0" w:afterAutospacing="0"/>
        <w:textAlignment w:val="baseline"/>
        <w:rPr>
          <w:rFonts w:ascii="Arial" w:eastAsia="Arial" w:hAnsi="Arial" w:cs="Arial"/>
          <w:color w:val="64777E"/>
          <w:sz w:val="18"/>
          <w:szCs w:val="18"/>
          <w:lang w:val="en-US" w:eastAsia="en-US"/>
        </w:rPr>
      </w:pPr>
    </w:p>
    <w:p w14:paraId="5CCFF7AD" w14:textId="2C7A669B" w:rsidR="00004BC9" w:rsidRDefault="005D63FC" w:rsidP="00004BC9">
      <w:pPr>
        <w:pStyle w:val="paragraph"/>
        <w:spacing w:before="0" w:beforeAutospacing="0" w:after="0" w:afterAutospacing="0"/>
        <w:textAlignment w:val="baseline"/>
        <w:rPr>
          <w:rFonts w:ascii="Arial" w:eastAsia="Arial" w:hAnsi="Arial" w:cs="Arial"/>
          <w:color w:val="64777E"/>
          <w:sz w:val="18"/>
          <w:szCs w:val="18"/>
          <w:lang w:val="en-US" w:eastAsia="en-US"/>
        </w:rPr>
      </w:pPr>
      <w:r w:rsidRPr="005D63FC">
        <w:rPr>
          <w:rFonts w:ascii="Arial" w:eastAsia="Arial" w:hAnsi="Arial" w:cs="Arial"/>
          <w:color w:val="64777E"/>
          <w:sz w:val="18"/>
          <w:szCs w:val="18"/>
          <w:lang w:val="en-US" w:eastAsia="en-US"/>
        </w:rPr>
        <w:t>The Australian Fixed Income business offers a comprehensive range of speciali</w:t>
      </w:r>
      <w:r>
        <w:rPr>
          <w:rFonts w:ascii="Arial" w:eastAsia="Arial" w:hAnsi="Arial" w:cs="Arial"/>
          <w:color w:val="64777E"/>
          <w:sz w:val="18"/>
          <w:szCs w:val="18"/>
          <w:lang w:val="en-US" w:eastAsia="en-US"/>
        </w:rPr>
        <w:t>s</w:t>
      </w:r>
      <w:r w:rsidRPr="005D63FC">
        <w:rPr>
          <w:rFonts w:ascii="Arial" w:eastAsia="Arial" w:hAnsi="Arial" w:cs="Arial"/>
          <w:color w:val="64777E"/>
          <w:sz w:val="18"/>
          <w:szCs w:val="18"/>
          <w:lang w:val="en-US" w:eastAsia="en-US"/>
        </w:rPr>
        <w:t>ed Australian and global debt solutions, both as a manufacturer and manager. Built on a foundation of active management, the team firmly rejects passive fixed income strategies. The Australian Fixed Income desk is regarded as a well-supported and highly profitable franchise.</w:t>
      </w:r>
    </w:p>
    <w:p w14:paraId="5E42C873" w14:textId="77777777" w:rsidR="005D63FC" w:rsidRPr="00A23C45" w:rsidRDefault="005D63FC" w:rsidP="00004BC9">
      <w:pPr>
        <w:pStyle w:val="paragraph"/>
        <w:spacing w:before="0" w:beforeAutospacing="0" w:after="0" w:afterAutospacing="0"/>
        <w:textAlignment w:val="baseline"/>
        <w:rPr>
          <w:rFonts w:eastAsiaTheme="majorEastAsia"/>
          <w:color w:val="64777E"/>
          <w:lang w:val="en-US"/>
        </w:rPr>
      </w:pPr>
    </w:p>
    <w:p w14:paraId="315D8296" w14:textId="77777777" w:rsidR="00004BC9" w:rsidRDefault="00004BC9" w:rsidP="00004BC9">
      <w:pPr>
        <w:pStyle w:val="paragraph"/>
        <w:spacing w:before="0" w:beforeAutospacing="0" w:after="0" w:afterAutospacing="0"/>
        <w:textAlignment w:val="baseline"/>
        <w:rPr>
          <w:rStyle w:val="eop"/>
          <w:rFonts w:ascii="Arial" w:eastAsiaTheme="majorEastAsia" w:hAnsi="Arial" w:cs="Arial"/>
          <w:color w:val="76C204"/>
          <w:sz w:val="28"/>
          <w:szCs w:val="28"/>
        </w:rPr>
      </w:pPr>
      <w:r>
        <w:rPr>
          <w:rStyle w:val="normaltextrun"/>
          <w:rFonts w:ascii="Arial" w:eastAsiaTheme="majorEastAsia" w:hAnsi="Arial" w:cs="Arial"/>
          <w:color w:val="76C204"/>
          <w:sz w:val="28"/>
          <w:szCs w:val="28"/>
        </w:rPr>
        <w:t>INVESTMENT TEAM</w:t>
      </w:r>
      <w:r>
        <w:rPr>
          <w:rStyle w:val="eop"/>
          <w:rFonts w:ascii="Arial" w:eastAsiaTheme="majorEastAsia" w:hAnsi="Arial" w:cs="Arial"/>
          <w:color w:val="76C204"/>
          <w:sz w:val="28"/>
          <w:szCs w:val="28"/>
        </w:rPr>
        <w:t> </w:t>
      </w:r>
    </w:p>
    <w:p w14:paraId="64DEB194" w14:textId="28B9C59B" w:rsidR="00004BC9" w:rsidRDefault="005D63FC" w:rsidP="00004BC9">
      <w:pPr>
        <w:pStyle w:val="paragraph"/>
        <w:spacing w:before="0" w:beforeAutospacing="0" w:after="0" w:afterAutospacing="0"/>
        <w:textAlignment w:val="baseline"/>
        <w:rPr>
          <w:rFonts w:ascii="Arial" w:eastAsia="Arial" w:hAnsi="Arial" w:cs="Arial"/>
          <w:color w:val="64777E"/>
          <w:sz w:val="18"/>
          <w:szCs w:val="18"/>
          <w:lang w:val="en-US" w:eastAsia="en-US"/>
        </w:rPr>
      </w:pPr>
      <w:r>
        <w:rPr>
          <w:rFonts w:ascii="Arial" w:eastAsia="Arial" w:hAnsi="Arial" w:cs="Arial"/>
          <w:color w:val="64777E"/>
          <w:sz w:val="18"/>
          <w:szCs w:val="18"/>
          <w:lang w:val="en-US" w:eastAsia="en-US"/>
        </w:rPr>
        <w:t>The Australian fixed interest team is</w:t>
      </w:r>
      <w:r w:rsidR="008A67C5">
        <w:rPr>
          <w:rFonts w:ascii="Arial" w:eastAsia="Arial" w:hAnsi="Arial" w:cs="Arial"/>
          <w:color w:val="64777E"/>
          <w:sz w:val="18"/>
          <w:szCs w:val="18"/>
          <w:lang w:val="en-US" w:eastAsia="en-US"/>
        </w:rPr>
        <w:t xml:space="preserve"> located in Melbourne and</w:t>
      </w:r>
      <w:r>
        <w:rPr>
          <w:rFonts w:ascii="Arial" w:eastAsia="Arial" w:hAnsi="Arial" w:cs="Arial"/>
          <w:color w:val="64777E"/>
          <w:sz w:val="18"/>
          <w:szCs w:val="18"/>
          <w:lang w:val="en-US" w:eastAsia="en-US"/>
        </w:rPr>
        <w:t xml:space="preserve"> </w:t>
      </w:r>
      <w:r w:rsidR="00BA3ACE">
        <w:rPr>
          <w:rFonts w:ascii="Arial" w:eastAsia="Arial" w:hAnsi="Arial" w:cs="Arial"/>
          <w:color w:val="64777E"/>
          <w:sz w:val="18"/>
          <w:szCs w:val="18"/>
          <w:lang w:val="en-US" w:eastAsia="en-US"/>
        </w:rPr>
        <w:t>headed</w:t>
      </w:r>
      <w:r>
        <w:rPr>
          <w:rFonts w:ascii="Arial" w:eastAsia="Arial" w:hAnsi="Arial" w:cs="Arial"/>
          <w:color w:val="64777E"/>
          <w:sz w:val="18"/>
          <w:szCs w:val="18"/>
          <w:lang w:val="en-US" w:eastAsia="en-US"/>
        </w:rPr>
        <w:t xml:space="preserve"> by Jay Sivapalan</w:t>
      </w:r>
      <w:r w:rsidR="00BA3ACE">
        <w:rPr>
          <w:rFonts w:ascii="Arial" w:eastAsia="Arial" w:hAnsi="Arial" w:cs="Arial"/>
          <w:color w:val="64777E"/>
          <w:sz w:val="18"/>
          <w:szCs w:val="18"/>
          <w:lang w:val="en-US" w:eastAsia="en-US"/>
        </w:rPr>
        <w:t xml:space="preserve">, a seasoned professional with </w:t>
      </w:r>
      <w:r>
        <w:rPr>
          <w:rFonts w:ascii="Arial" w:eastAsia="Arial" w:hAnsi="Arial" w:cs="Arial"/>
          <w:color w:val="64777E"/>
          <w:sz w:val="18"/>
          <w:szCs w:val="18"/>
          <w:lang w:val="en-US" w:eastAsia="en-US"/>
        </w:rPr>
        <w:t xml:space="preserve">26 years of industry experience and 23 years with the manager. Sivapalan is considered a highly capable and experienced leader of the team. The team </w:t>
      </w:r>
      <w:r w:rsidR="00BA3ACE">
        <w:rPr>
          <w:rFonts w:ascii="Arial" w:eastAsia="Arial" w:hAnsi="Arial" w:cs="Arial"/>
          <w:color w:val="64777E"/>
          <w:sz w:val="18"/>
          <w:szCs w:val="18"/>
          <w:lang w:val="en-US" w:eastAsia="en-US"/>
        </w:rPr>
        <w:t xml:space="preserve">consist of </w:t>
      </w:r>
      <w:r>
        <w:rPr>
          <w:rFonts w:ascii="Arial" w:eastAsia="Arial" w:hAnsi="Arial" w:cs="Arial"/>
          <w:color w:val="64777E"/>
          <w:sz w:val="18"/>
          <w:szCs w:val="18"/>
          <w:lang w:val="en-US" w:eastAsia="en-US"/>
        </w:rPr>
        <w:t xml:space="preserve">nine investment professionals including four portfolio managers, one macroeconomist, three analysts and an ESG specialist. </w:t>
      </w:r>
    </w:p>
    <w:p w14:paraId="34413FF2" w14:textId="77777777" w:rsidR="005D63FC" w:rsidRDefault="005D63FC" w:rsidP="00004BC9">
      <w:pPr>
        <w:pStyle w:val="paragraph"/>
        <w:spacing w:before="0" w:beforeAutospacing="0" w:after="0" w:afterAutospacing="0"/>
        <w:textAlignment w:val="baseline"/>
        <w:rPr>
          <w:rFonts w:ascii="Arial" w:eastAsia="Arial" w:hAnsi="Arial" w:cs="Arial"/>
          <w:color w:val="64777E"/>
          <w:sz w:val="18"/>
          <w:szCs w:val="18"/>
          <w:lang w:val="en-US" w:eastAsia="en-US"/>
        </w:rPr>
      </w:pPr>
    </w:p>
    <w:p w14:paraId="7B09B267" w14:textId="36C6ECAC" w:rsidR="005D63FC" w:rsidRDefault="005D63FC" w:rsidP="00004BC9">
      <w:pPr>
        <w:pStyle w:val="paragraph"/>
        <w:spacing w:before="0" w:beforeAutospacing="0" w:after="0" w:afterAutospacing="0"/>
        <w:textAlignment w:val="baseline"/>
        <w:rPr>
          <w:rFonts w:ascii="Arial" w:eastAsia="Arial" w:hAnsi="Arial" w:cs="Arial"/>
          <w:color w:val="64777E"/>
          <w:sz w:val="18"/>
          <w:szCs w:val="18"/>
          <w:lang w:val="en-US" w:eastAsia="en-US"/>
        </w:rPr>
      </w:pPr>
      <w:r>
        <w:rPr>
          <w:rFonts w:ascii="Arial" w:eastAsia="Arial" w:hAnsi="Arial" w:cs="Arial"/>
          <w:color w:val="64777E"/>
          <w:sz w:val="18"/>
          <w:szCs w:val="18"/>
          <w:lang w:val="en-US" w:eastAsia="en-US"/>
        </w:rPr>
        <w:t xml:space="preserve">Jay Sivapalan and Shan Kwee are the dedicated portfolio managers </w:t>
      </w:r>
      <w:r w:rsidR="00BA3ACE">
        <w:rPr>
          <w:rFonts w:ascii="Arial" w:eastAsia="Arial" w:hAnsi="Arial" w:cs="Arial"/>
          <w:color w:val="64777E"/>
          <w:sz w:val="18"/>
          <w:szCs w:val="18"/>
          <w:lang w:val="en-US" w:eastAsia="en-US"/>
        </w:rPr>
        <w:t>for</w:t>
      </w:r>
      <w:r>
        <w:rPr>
          <w:rFonts w:ascii="Arial" w:eastAsia="Arial" w:hAnsi="Arial" w:cs="Arial"/>
          <w:color w:val="64777E"/>
          <w:sz w:val="18"/>
          <w:szCs w:val="18"/>
          <w:lang w:val="en-US" w:eastAsia="en-US"/>
        </w:rPr>
        <w:t xml:space="preserve"> the diversified credit fund</w:t>
      </w:r>
      <w:r w:rsidR="00BA3ACE">
        <w:rPr>
          <w:rFonts w:ascii="Arial" w:eastAsia="Arial" w:hAnsi="Arial" w:cs="Arial"/>
          <w:color w:val="64777E"/>
          <w:sz w:val="18"/>
          <w:szCs w:val="18"/>
          <w:lang w:val="en-US" w:eastAsia="en-US"/>
        </w:rPr>
        <w:t xml:space="preserve">. Each of the nine team members brings specialised expertise, contributing insights and participating in collective decision making. However, Sivapalan holds ultimate decision-making authority, which is viewed positively as it fosters accountability compared to more diluted decision-making practices seen among peers.  </w:t>
      </w:r>
    </w:p>
    <w:p w14:paraId="584A637E" w14:textId="59A2DAC6" w:rsidR="00004BC9" w:rsidRPr="00F5625E" w:rsidRDefault="00F5625E" w:rsidP="00F5625E">
      <w:pPr>
        <w:pStyle w:val="paragraph"/>
        <w:spacing w:after="0"/>
        <w:textAlignment w:val="baseline"/>
        <w:rPr>
          <w:rStyle w:val="normaltextrun"/>
          <w:rFonts w:ascii="Arial" w:eastAsia="Arial" w:hAnsi="Arial" w:cs="Arial"/>
          <w:color w:val="64777E"/>
          <w:sz w:val="18"/>
          <w:szCs w:val="18"/>
          <w:lang w:val="en-US" w:eastAsia="en-US"/>
        </w:rPr>
      </w:pPr>
      <w:r w:rsidRPr="00F5625E">
        <w:rPr>
          <w:rFonts w:ascii="Arial" w:eastAsia="Arial" w:hAnsi="Arial" w:cs="Arial"/>
          <w:color w:val="64777E"/>
          <w:sz w:val="18"/>
          <w:szCs w:val="18"/>
          <w:lang w:val="en-US" w:eastAsia="en-US"/>
        </w:rPr>
        <w:t xml:space="preserve">Janus Henderson's competitive advantage lies in the team's ability to leverage insights from its global fixed income, equity, and alternative asset teams. This collaborative approach enables the manager to efficiently cross-pollinate ideas and perform thorough "sense checks," enhancing decision-making and </w:t>
      </w:r>
      <w:r>
        <w:rPr>
          <w:rFonts w:ascii="Arial" w:eastAsia="Arial" w:hAnsi="Arial" w:cs="Arial"/>
          <w:color w:val="64777E"/>
          <w:sz w:val="18"/>
          <w:szCs w:val="18"/>
          <w:lang w:val="en-US" w:eastAsia="en-US"/>
        </w:rPr>
        <w:t>creating</w:t>
      </w:r>
      <w:r w:rsidRPr="00F5625E">
        <w:rPr>
          <w:rFonts w:ascii="Arial" w:eastAsia="Arial" w:hAnsi="Arial" w:cs="Arial"/>
          <w:color w:val="64777E"/>
          <w:sz w:val="18"/>
          <w:szCs w:val="18"/>
          <w:lang w:val="en-US" w:eastAsia="en-US"/>
        </w:rPr>
        <w:t xml:space="preserve"> a well-rounded investment </w:t>
      </w:r>
      <w:r>
        <w:rPr>
          <w:rFonts w:ascii="Arial" w:eastAsia="Arial" w:hAnsi="Arial" w:cs="Arial"/>
          <w:color w:val="64777E"/>
          <w:sz w:val="18"/>
          <w:szCs w:val="18"/>
          <w:lang w:val="en-US" w:eastAsia="en-US"/>
        </w:rPr>
        <w:t>team.</w:t>
      </w:r>
    </w:p>
    <w:p w14:paraId="38D7B3F6" w14:textId="77777777" w:rsidR="00004BC9" w:rsidRDefault="00004BC9" w:rsidP="00004BC9">
      <w:pPr>
        <w:pStyle w:val="paragraph"/>
        <w:spacing w:before="0" w:beforeAutospacing="0" w:after="0" w:afterAutospacing="0"/>
        <w:textAlignment w:val="baseline"/>
        <w:rPr>
          <w:rStyle w:val="normaltextrun"/>
          <w:rFonts w:ascii="Arial" w:eastAsiaTheme="majorEastAsia" w:hAnsi="Arial" w:cs="Arial"/>
          <w:color w:val="76C204"/>
          <w:sz w:val="22"/>
          <w:szCs w:val="22"/>
        </w:rPr>
      </w:pPr>
      <w:r>
        <w:rPr>
          <w:rStyle w:val="normaltextrun"/>
          <w:rFonts w:ascii="Arial" w:eastAsiaTheme="majorEastAsia" w:hAnsi="Arial" w:cs="Arial"/>
          <w:color w:val="76C204"/>
          <w:sz w:val="22"/>
          <w:szCs w:val="22"/>
        </w:rPr>
        <w:lastRenderedPageBreak/>
        <w:t>Key Person Risk</w:t>
      </w:r>
    </w:p>
    <w:p w14:paraId="4B24252D" w14:textId="46FD542B" w:rsidR="00004BC9" w:rsidRDefault="00F5625E" w:rsidP="00004BC9">
      <w:pPr>
        <w:pStyle w:val="paragraph"/>
        <w:shd w:val="clear" w:color="auto" w:fill="FFFFFF"/>
        <w:spacing w:before="0" w:beforeAutospacing="0" w:after="0" w:afterAutospacing="0"/>
        <w:jc w:val="both"/>
        <w:textAlignment w:val="baseline"/>
        <w:rPr>
          <w:rStyle w:val="normaltextrun"/>
          <w:rFonts w:ascii="Arial" w:eastAsiaTheme="majorEastAsia" w:hAnsi="Arial" w:cs="Arial"/>
          <w:color w:val="64777E"/>
          <w:sz w:val="18"/>
          <w:szCs w:val="18"/>
        </w:rPr>
      </w:pPr>
      <w:r w:rsidRPr="00F5625E">
        <w:rPr>
          <w:rStyle w:val="normaltextrun"/>
          <w:rFonts w:ascii="Arial" w:eastAsiaTheme="majorEastAsia" w:hAnsi="Arial" w:cs="Arial"/>
          <w:color w:val="64777E"/>
          <w:sz w:val="18"/>
          <w:szCs w:val="18"/>
        </w:rPr>
        <w:t xml:space="preserve">Given the collaborative nature of the process and team, key person risk is assessed to be lower than peers. However, </w:t>
      </w:r>
      <w:r>
        <w:rPr>
          <w:rStyle w:val="normaltextrun"/>
          <w:rFonts w:ascii="Arial" w:eastAsiaTheme="majorEastAsia" w:hAnsi="Arial" w:cs="Arial"/>
          <w:color w:val="64777E"/>
          <w:sz w:val="18"/>
          <w:szCs w:val="18"/>
        </w:rPr>
        <w:t>Sivapalan i</w:t>
      </w:r>
      <w:r w:rsidRPr="00F5625E">
        <w:rPr>
          <w:rStyle w:val="normaltextrun"/>
          <w:rFonts w:ascii="Arial" w:eastAsiaTheme="majorEastAsia" w:hAnsi="Arial" w:cs="Arial"/>
          <w:color w:val="64777E"/>
          <w:sz w:val="18"/>
          <w:szCs w:val="18"/>
        </w:rPr>
        <w:t xml:space="preserve">s </w:t>
      </w:r>
      <w:r>
        <w:rPr>
          <w:rStyle w:val="normaltextrun"/>
          <w:rFonts w:ascii="Arial" w:eastAsiaTheme="majorEastAsia" w:hAnsi="Arial" w:cs="Arial"/>
          <w:color w:val="64777E"/>
          <w:sz w:val="18"/>
          <w:szCs w:val="18"/>
        </w:rPr>
        <w:t xml:space="preserve">seen as </w:t>
      </w:r>
      <w:r w:rsidRPr="00F5625E">
        <w:rPr>
          <w:rStyle w:val="normaltextrun"/>
          <w:rFonts w:ascii="Arial" w:eastAsiaTheme="majorEastAsia" w:hAnsi="Arial" w:cs="Arial"/>
          <w:color w:val="64777E"/>
          <w:sz w:val="18"/>
          <w:szCs w:val="18"/>
        </w:rPr>
        <w:t xml:space="preserve">the steward of </w:t>
      </w:r>
      <w:r>
        <w:rPr>
          <w:rStyle w:val="normaltextrun"/>
          <w:rFonts w:ascii="Arial" w:eastAsiaTheme="majorEastAsia" w:hAnsi="Arial" w:cs="Arial"/>
          <w:color w:val="64777E"/>
          <w:sz w:val="18"/>
          <w:szCs w:val="18"/>
        </w:rPr>
        <w:t xml:space="preserve">both </w:t>
      </w:r>
      <w:r w:rsidRPr="00F5625E">
        <w:rPr>
          <w:rStyle w:val="normaltextrun"/>
          <w:rFonts w:ascii="Arial" w:eastAsiaTheme="majorEastAsia" w:hAnsi="Arial" w:cs="Arial"/>
          <w:color w:val="64777E"/>
          <w:sz w:val="18"/>
          <w:szCs w:val="18"/>
        </w:rPr>
        <w:t xml:space="preserve">the process and </w:t>
      </w:r>
      <w:r>
        <w:rPr>
          <w:rStyle w:val="normaltextrun"/>
          <w:rFonts w:ascii="Arial" w:eastAsiaTheme="majorEastAsia" w:hAnsi="Arial" w:cs="Arial"/>
          <w:color w:val="64777E"/>
          <w:sz w:val="18"/>
          <w:szCs w:val="18"/>
        </w:rPr>
        <w:t>team, meaning his</w:t>
      </w:r>
      <w:r w:rsidRPr="00F5625E">
        <w:rPr>
          <w:rStyle w:val="normaltextrun"/>
          <w:rFonts w:ascii="Arial" w:eastAsiaTheme="majorEastAsia" w:hAnsi="Arial" w:cs="Arial"/>
          <w:color w:val="64777E"/>
          <w:sz w:val="18"/>
          <w:szCs w:val="18"/>
        </w:rPr>
        <w:t xml:space="preserve"> departure would trigger a reassessment of the investment case.</w:t>
      </w:r>
    </w:p>
    <w:p w14:paraId="44B30451" w14:textId="77777777" w:rsidR="00004BC9" w:rsidRDefault="00004BC9" w:rsidP="00004BC9">
      <w:pPr>
        <w:pStyle w:val="paragraph"/>
        <w:shd w:val="clear" w:color="auto" w:fill="FFFFFF"/>
        <w:spacing w:before="0" w:beforeAutospacing="0" w:after="0" w:afterAutospacing="0"/>
        <w:jc w:val="both"/>
        <w:textAlignment w:val="baseline"/>
        <w:rPr>
          <w:rStyle w:val="normaltextrun"/>
          <w:rFonts w:eastAsia="Calibri"/>
          <w:color w:val="76C204"/>
          <w:sz w:val="22"/>
          <w:szCs w:val="22"/>
        </w:rPr>
      </w:pPr>
    </w:p>
    <w:p w14:paraId="22B97085" w14:textId="77777777" w:rsidR="00004BC9" w:rsidRDefault="00004BC9" w:rsidP="00004BC9">
      <w:pPr>
        <w:pBdr>
          <w:top w:val="nil"/>
          <w:left w:val="nil"/>
          <w:bottom w:val="nil"/>
          <w:right w:val="nil"/>
          <w:between w:val="nil"/>
        </w:pBdr>
        <w:spacing w:after="0"/>
        <w:jc w:val="both"/>
        <w:rPr>
          <w:rFonts w:eastAsia="Calibri" w:cs="Times New Roman"/>
          <w:color w:val="76C204"/>
          <w:sz w:val="28"/>
          <w:szCs w:val="28"/>
        </w:rPr>
      </w:pPr>
      <w:r>
        <w:rPr>
          <w:rFonts w:eastAsia="Calibri" w:cs="Times New Roman"/>
          <w:color w:val="76C204"/>
          <w:sz w:val="28"/>
          <w:szCs w:val="28"/>
        </w:rPr>
        <w:t>INVESTMENT PHILOSOPHY AND PROCESS</w:t>
      </w:r>
    </w:p>
    <w:p w14:paraId="3F1E50AB" w14:textId="77777777" w:rsidR="00004BC9" w:rsidRPr="00027290" w:rsidRDefault="00004BC9" w:rsidP="00004BC9">
      <w:pPr>
        <w:pStyle w:val="paragraph"/>
        <w:shd w:val="clear" w:color="auto" w:fill="FFFFFF"/>
        <w:spacing w:before="0" w:beforeAutospacing="0" w:after="0" w:afterAutospacing="0"/>
        <w:jc w:val="both"/>
        <w:textAlignment w:val="baseline"/>
        <w:rPr>
          <w:rStyle w:val="normaltextrun"/>
          <w:rFonts w:eastAsia="Calibri"/>
          <w:color w:val="76C204"/>
          <w:sz w:val="6"/>
          <w:szCs w:val="6"/>
        </w:rPr>
      </w:pPr>
    </w:p>
    <w:p w14:paraId="09098C5D" w14:textId="77777777" w:rsidR="00004BC9" w:rsidRDefault="00004BC9" w:rsidP="00004BC9">
      <w:pPr>
        <w:pStyle w:val="paragraph"/>
        <w:shd w:val="clear" w:color="auto" w:fill="FFFFFF"/>
        <w:spacing w:before="0" w:beforeAutospacing="0" w:after="0" w:afterAutospacing="0"/>
        <w:jc w:val="both"/>
        <w:textAlignment w:val="baseline"/>
        <w:rPr>
          <w:rStyle w:val="normaltextrun"/>
          <w:rFonts w:ascii="Arial" w:eastAsia="Calibri" w:hAnsi="Arial" w:cs="Arial"/>
          <w:color w:val="76C204"/>
          <w:sz w:val="22"/>
          <w:szCs w:val="22"/>
        </w:rPr>
      </w:pPr>
      <w:r w:rsidRPr="00F37B2F">
        <w:rPr>
          <w:rStyle w:val="normaltextrun"/>
          <w:rFonts w:ascii="Arial" w:eastAsia="Calibri" w:hAnsi="Arial" w:cs="Arial"/>
          <w:color w:val="76C204"/>
          <w:sz w:val="22"/>
          <w:szCs w:val="22"/>
        </w:rPr>
        <w:t>Investable</w:t>
      </w:r>
      <w:r w:rsidRPr="00F37B2F">
        <w:rPr>
          <w:rFonts w:ascii="Arial" w:eastAsiaTheme="majorEastAsia" w:hAnsi="Arial" w:cs="Arial"/>
          <w:color w:val="64777E"/>
          <w:sz w:val="18"/>
          <w:szCs w:val="18"/>
        </w:rPr>
        <w:t xml:space="preserve"> </w:t>
      </w:r>
      <w:r w:rsidRPr="00F37B2F">
        <w:rPr>
          <w:rStyle w:val="normaltextrun"/>
          <w:rFonts w:ascii="Arial" w:eastAsia="Calibri" w:hAnsi="Arial" w:cs="Arial"/>
          <w:color w:val="76C204"/>
          <w:sz w:val="22"/>
          <w:szCs w:val="22"/>
        </w:rPr>
        <w:t>Universe</w:t>
      </w:r>
    </w:p>
    <w:p w14:paraId="7E83B985" w14:textId="3D5CBC2B" w:rsidR="00004BC9" w:rsidRDefault="00DF4B4A" w:rsidP="00004BC9">
      <w:pPr>
        <w:pBdr>
          <w:top w:val="nil"/>
          <w:left w:val="nil"/>
          <w:bottom w:val="nil"/>
          <w:right w:val="nil"/>
          <w:between w:val="nil"/>
        </w:pBdr>
        <w:spacing w:after="0"/>
        <w:jc w:val="both"/>
        <w:rPr>
          <w:rFonts w:ascii="Arial" w:eastAsiaTheme="majorEastAsia" w:hAnsi="Arial" w:cs="Arial"/>
          <w:color w:val="64777E"/>
          <w:kern w:val="0"/>
          <w:sz w:val="18"/>
          <w:szCs w:val="18"/>
          <w:lang w:eastAsia="en-AU"/>
          <w14:ligatures w14:val="none"/>
        </w:rPr>
      </w:pPr>
      <w:r>
        <w:rPr>
          <w:rFonts w:ascii="Arial" w:eastAsiaTheme="majorEastAsia" w:hAnsi="Arial" w:cs="Arial"/>
          <w:color w:val="64777E"/>
          <w:kern w:val="0"/>
          <w:sz w:val="18"/>
          <w:szCs w:val="18"/>
          <w:lang w:eastAsia="en-AU"/>
          <w14:ligatures w14:val="none"/>
        </w:rPr>
        <w:t xml:space="preserve">The Fund has a diversified and deep opportunity set across Australian, global and emerging market fixed income securities. The Fund’s credit allocation is primarily Australian </w:t>
      </w:r>
      <w:r w:rsidR="00531CF7">
        <w:rPr>
          <w:rFonts w:ascii="Arial" w:eastAsiaTheme="majorEastAsia" w:hAnsi="Arial" w:cs="Arial"/>
          <w:color w:val="64777E"/>
          <w:kern w:val="0"/>
          <w:sz w:val="18"/>
          <w:szCs w:val="18"/>
          <w:lang w:eastAsia="en-AU"/>
          <w14:ligatures w14:val="none"/>
        </w:rPr>
        <w:t xml:space="preserve">senior corporate debt (roughly 60%). Global and sub investment grade credit allocations are limited to 50% of the Fund. </w:t>
      </w:r>
      <w:r>
        <w:rPr>
          <w:rFonts w:ascii="Arial" w:eastAsiaTheme="majorEastAsia" w:hAnsi="Arial" w:cs="Arial"/>
          <w:color w:val="64777E"/>
          <w:kern w:val="0"/>
          <w:sz w:val="18"/>
          <w:szCs w:val="18"/>
          <w:lang w:eastAsia="en-AU"/>
          <w14:ligatures w14:val="none"/>
        </w:rPr>
        <w:t xml:space="preserve"> </w:t>
      </w:r>
    </w:p>
    <w:p w14:paraId="3F83C426" w14:textId="77777777" w:rsidR="00F5625E" w:rsidRDefault="00F5625E" w:rsidP="00004BC9">
      <w:pPr>
        <w:pBdr>
          <w:top w:val="nil"/>
          <w:left w:val="nil"/>
          <w:bottom w:val="nil"/>
          <w:right w:val="nil"/>
          <w:between w:val="nil"/>
        </w:pBdr>
        <w:spacing w:after="0"/>
        <w:jc w:val="both"/>
        <w:rPr>
          <w:rFonts w:ascii="Arial" w:eastAsiaTheme="majorEastAsia" w:hAnsi="Arial" w:cs="Arial"/>
          <w:color w:val="64777E"/>
          <w:kern w:val="0"/>
          <w:sz w:val="18"/>
          <w:szCs w:val="18"/>
          <w:lang w:eastAsia="en-AU"/>
          <w14:ligatures w14:val="none"/>
        </w:rPr>
      </w:pPr>
    </w:p>
    <w:p w14:paraId="1E7123E5" w14:textId="77777777" w:rsidR="00004BC9" w:rsidRDefault="00004BC9" w:rsidP="00004BC9">
      <w:pPr>
        <w:pBdr>
          <w:top w:val="nil"/>
          <w:left w:val="nil"/>
          <w:bottom w:val="nil"/>
          <w:right w:val="nil"/>
          <w:between w:val="nil"/>
        </w:pBdr>
        <w:spacing w:after="0"/>
        <w:jc w:val="both"/>
        <w:rPr>
          <w:rFonts w:ascii="Arial" w:eastAsiaTheme="majorEastAsia" w:hAnsi="Arial" w:cs="Arial"/>
          <w:color w:val="64777E"/>
          <w:kern w:val="0"/>
          <w:sz w:val="18"/>
          <w:szCs w:val="18"/>
          <w:lang w:eastAsia="en-AU"/>
          <w14:ligatures w14:val="none"/>
        </w:rPr>
      </w:pPr>
      <w:r>
        <w:rPr>
          <w:rFonts w:ascii="Arial" w:eastAsiaTheme="majorEastAsia" w:hAnsi="Arial" w:cs="Arial"/>
          <w:color w:val="64777E"/>
          <w:kern w:val="0"/>
          <w:sz w:val="18"/>
          <w:szCs w:val="18"/>
          <w:lang w:eastAsia="en-AU"/>
          <w14:ligatures w14:val="none"/>
        </w:rPr>
        <w:t xml:space="preserve">The Manager uses derivatives extensively to implement the investment process and decisions. Derivatives allow the manager to manage duration, hedge risks and provide a low-cost alternative to buying the underlying securities. </w:t>
      </w:r>
    </w:p>
    <w:p w14:paraId="757AD657" w14:textId="77777777" w:rsidR="00004BC9" w:rsidRPr="00992645" w:rsidRDefault="00004BC9" w:rsidP="00004BC9">
      <w:pPr>
        <w:pBdr>
          <w:top w:val="nil"/>
          <w:left w:val="nil"/>
          <w:bottom w:val="nil"/>
          <w:right w:val="nil"/>
          <w:between w:val="nil"/>
        </w:pBdr>
        <w:spacing w:after="0"/>
        <w:jc w:val="both"/>
        <w:rPr>
          <w:rFonts w:ascii="Arial" w:eastAsiaTheme="majorEastAsia" w:hAnsi="Arial" w:cs="Arial"/>
          <w:color w:val="64777E"/>
          <w:kern w:val="0"/>
          <w:sz w:val="18"/>
          <w:szCs w:val="18"/>
          <w:lang w:eastAsia="en-AU"/>
          <w14:ligatures w14:val="none"/>
        </w:rPr>
      </w:pPr>
    </w:p>
    <w:p w14:paraId="5F5DF3C2" w14:textId="77777777" w:rsidR="00F5625E" w:rsidRDefault="00004BC9" w:rsidP="00F5625E">
      <w:pPr>
        <w:pStyle w:val="paragraph"/>
        <w:shd w:val="clear" w:color="auto" w:fill="FFFFFF"/>
        <w:spacing w:before="0" w:beforeAutospacing="0" w:after="0" w:afterAutospacing="0"/>
        <w:jc w:val="both"/>
        <w:textAlignment w:val="baseline"/>
        <w:rPr>
          <w:rStyle w:val="normaltextrun"/>
          <w:rFonts w:ascii="Arial" w:eastAsia="Calibri" w:hAnsi="Arial" w:cs="Arial"/>
          <w:color w:val="76C204"/>
          <w:sz w:val="22"/>
          <w:szCs w:val="22"/>
        </w:rPr>
      </w:pPr>
      <w:r w:rsidRPr="00F37B2F">
        <w:rPr>
          <w:rStyle w:val="normaltextrun"/>
          <w:rFonts w:ascii="Arial" w:eastAsia="Calibri" w:hAnsi="Arial" w:cs="Arial"/>
          <w:color w:val="76C204"/>
          <w:sz w:val="22"/>
          <w:szCs w:val="22"/>
        </w:rPr>
        <w:t>Philosophy</w:t>
      </w:r>
    </w:p>
    <w:p w14:paraId="184EC462" w14:textId="3C1F00C1" w:rsidR="00F5625E" w:rsidRPr="00F5625E" w:rsidRDefault="00F5625E" w:rsidP="00F5625E">
      <w:pPr>
        <w:pStyle w:val="paragraph"/>
        <w:shd w:val="clear" w:color="auto" w:fill="FFFFFF"/>
        <w:spacing w:before="0" w:beforeAutospacing="0" w:after="0" w:afterAutospacing="0"/>
        <w:jc w:val="both"/>
        <w:textAlignment w:val="baseline"/>
        <w:rPr>
          <w:rFonts w:ascii="Arial" w:eastAsia="Calibri" w:hAnsi="Arial" w:cs="Arial"/>
          <w:color w:val="76C204"/>
          <w:sz w:val="22"/>
          <w:szCs w:val="22"/>
        </w:rPr>
      </w:pPr>
      <w:r w:rsidRPr="00F5625E">
        <w:rPr>
          <w:rFonts w:ascii="Arial" w:eastAsiaTheme="majorEastAsia" w:hAnsi="Arial" w:cs="Arial"/>
          <w:color w:val="64777E"/>
          <w:sz w:val="18"/>
          <w:szCs w:val="18"/>
        </w:rPr>
        <w:t>By investing in quality corporate debt, credit investin</w:t>
      </w:r>
      <w:r>
        <w:rPr>
          <w:rFonts w:ascii="Arial" w:eastAsiaTheme="majorEastAsia" w:hAnsi="Arial" w:cs="Arial"/>
          <w:color w:val="64777E"/>
          <w:sz w:val="18"/>
          <w:szCs w:val="18"/>
        </w:rPr>
        <w:t xml:space="preserve">g </w:t>
      </w:r>
      <w:r w:rsidRPr="00F5625E">
        <w:rPr>
          <w:rFonts w:ascii="Arial" w:eastAsiaTheme="majorEastAsia" w:hAnsi="Arial" w:cs="Arial"/>
          <w:color w:val="64777E"/>
          <w:sz w:val="18"/>
          <w:szCs w:val="18"/>
        </w:rPr>
        <w:t>can deliver higher levels of income and</w:t>
      </w:r>
      <w:r>
        <w:rPr>
          <w:rFonts w:ascii="Arial" w:eastAsiaTheme="majorEastAsia" w:hAnsi="Arial" w:cs="Arial"/>
          <w:color w:val="64777E"/>
          <w:sz w:val="18"/>
          <w:szCs w:val="18"/>
        </w:rPr>
        <w:t xml:space="preserve"> </w:t>
      </w:r>
      <w:r w:rsidRPr="00F5625E">
        <w:rPr>
          <w:rFonts w:ascii="Arial" w:eastAsiaTheme="majorEastAsia" w:hAnsi="Arial" w:cs="Arial"/>
          <w:color w:val="64777E"/>
          <w:sz w:val="18"/>
          <w:szCs w:val="18"/>
        </w:rPr>
        <w:t>higher returns than traditional defensive strategies,</w:t>
      </w:r>
      <w:r>
        <w:rPr>
          <w:rFonts w:ascii="Arial" w:eastAsiaTheme="majorEastAsia" w:hAnsi="Arial" w:cs="Arial"/>
          <w:color w:val="64777E"/>
          <w:sz w:val="18"/>
          <w:szCs w:val="18"/>
        </w:rPr>
        <w:t xml:space="preserve"> </w:t>
      </w:r>
      <w:r w:rsidRPr="00F5625E">
        <w:rPr>
          <w:rFonts w:ascii="Arial" w:eastAsiaTheme="majorEastAsia" w:hAnsi="Arial" w:cs="Arial"/>
          <w:color w:val="64777E"/>
          <w:sz w:val="18"/>
          <w:szCs w:val="18"/>
        </w:rPr>
        <w:t>and at lower levels of volatility and risk of capital loss</w:t>
      </w:r>
      <w:r>
        <w:rPr>
          <w:rFonts w:ascii="Arial" w:eastAsiaTheme="majorEastAsia" w:hAnsi="Arial" w:cs="Arial"/>
          <w:color w:val="64777E"/>
          <w:sz w:val="18"/>
          <w:szCs w:val="18"/>
        </w:rPr>
        <w:t xml:space="preserve"> </w:t>
      </w:r>
      <w:r w:rsidRPr="00F5625E">
        <w:rPr>
          <w:rFonts w:ascii="Arial" w:eastAsiaTheme="majorEastAsia" w:hAnsi="Arial" w:cs="Arial"/>
          <w:color w:val="64777E"/>
          <w:sz w:val="18"/>
          <w:szCs w:val="18"/>
        </w:rPr>
        <w:t>than investing solely in equities, hybrids, loans or high</w:t>
      </w:r>
      <w:r>
        <w:rPr>
          <w:rFonts w:ascii="Arial" w:eastAsiaTheme="majorEastAsia" w:hAnsi="Arial" w:cs="Arial"/>
          <w:color w:val="64777E"/>
          <w:sz w:val="18"/>
          <w:szCs w:val="18"/>
        </w:rPr>
        <w:t xml:space="preserve"> </w:t>
      </w:r>
      <w:r w:rsidRPr="00F5625E">
        <w:rPr>
          <w:rFonts w:ascii="Arial" w:eastAsiaTheme="majorEastAsia" w:hAnsi="Arial" w:cs="Arial"/>
          <w:color w:val="64777E"/>
          <w:sz w:val="18"/>
          <w:szCs w:val="18"/>
        </w:rPr>
        <w:t>yield securities may offer.</w:t>
      </w:r>
    </w:p>
    <w:p w14:paraId="6FD4F169" w14:textId="108D9E75" w:rsidR="00004BC9" w:rsidRPr="00F5625E" w:rsidRDefault="00F5625E" w:rsidP="00F5625E">
      <w:pPr>
        <w:pStyle w:val="paragraph"/>
        <w:spacing w:after="0"/>
        <w:textAlignment w:val="baseline"/>
        <w:rPr>
          <w:rStyle w:val="eop"/>
          <w:rFonts w:ascii="Arial" w:eastAsiaTheme="majorEastAsia" w:hAnsi="Arial" w:cs="Arial"/>
          <w:color w:val="64777E"/>
          <w:sz w:val="18"/>
          <w:szCs w:val="18"/>
        </w:rPr>
      </w:pPr>
      <w:r>
        <w:rPr>
          <w:rFonts w:ascii="Arial" w:eastAsiaTheme="majorEastAsia" w:hAnsi="Arial" w:cs="Arial"/>
          <w:color w:val="64777E"/>
          <w:sz w:val="18"/>
          <w:szCs w:val="18"/>
        </w:rPr>
        <w:t>The Manager</w:t>
      </w:r>
      <w:r w:rsidRPr="00F5625E">
        <w:rPr>
          <w:rFonts w:ascii="Arial" w:eastAsiaTheme="majorEastAsia" w:hAnsi="Arial" w:cs="Arial"/>
          <w:color w:val="64777E"/>
          <w:sz w:val="18"/>
          <w:szCs w:val="18"/>
        </w:rPr>
        <w:t xml:space="preserve"> believe</w:t>
      </w:r>
      <w:r>
        <w:rPr>
          <w:rFonts w:ascii="Arial" w:eastAsiaTheme="majorEastAsia" w:hAnsi="Arial" w:cs="Arial"/>
          <w:color w:val="64777E"/>
          <w:sz w:val="18"/>
          <w:szCs w:val="18"/>
        </w:rPr>
        <w:t>s</w:t>
      </w:r>
      <w:r w:rsidRPr="00F5625E">
        <w:rPr>
          <w:rFonts w:ascii="Arial" w:eastAsiaTheme="majorEastAsia" w:hAnsi="Arial" w:cs="Arial"/>
          <w:color w:val="64777E"/>
          <w:sz w:val="18"/>
          <w:szCs w:val="18"/>
        </w:rPr>
        <w:t xml:space="preserve"> active management of credit can add</w:t>
      </w:r>
      <w:r>
        <w:rPr>
          <w:rFonts w:ascii="Arial" w:eastAsiaTheme="majorEastAsia" w:hAnsi="Arial" w:cs="Arial"/>
          <w:color w:val="64777E"/>
          <w:sz w:val="18"/>
          <w:szCs w:val="18"/>
        </w:rPr>
        <w:t xml:space="preserve"> </w:t>
      </w:r>
      <w:r w:rsidRPr="00F5625E">
        <w:rPr>
          <w:rFonts w:ascii="Arial" w:eastAsiaTheme="majorEastAsia" w:hAnsi="Arial" w:cs="Arial"/>
          <w:color w:val="64777E"/>
          <w:sz w:val="18"/>
          <w:szCs w:val="18"/>
        </w:rPr>
        <w:t>robust and repeatable risk-adjusted returns for</w:t>
      </w:r>
      <w:r>
        <w:rPr>
          <w:rFonts w:ascii="Arial" w:eastAsiaTheme="majorEastAsia" w:hAnsi="Arial" w:cs="Arial"/>
          <w:color w:val="64777E"/>
          <w:sz w:val="18"/>
          <w:szCs w:val="18"/>
        </w:rPr>
        <w:t xml:space="preserve"> </w:t>
      </w:r>
      <w:r w:rsidRPr="00F5625E">
        <w:rPr>
          <w:rFonts w:ascii="Arial" w:eastAsiaTheme="majorEastAsia" w:hAnsi="Arial" w:cs="Arial"/>
          <w:color w:val="64777E"/>
          <w:sz w:val="18"/>
          <w:szCs w:val="18"/>
        </w:rPr>
        <w:t>investors seeking a consistent income stream.</w:t>
      </w:r>
    </w:p>
    <w:p w14:paraId="573E31AB" w14:textId="77777777" w:rsidR="00004BC9" w:rsidRPr="00E638C9" w:rsidRDefault="00004BC9" w:rsidP="00004BC9">
      <w:pPr>
        <w:pStyle w:val="paragraph"/>
        <w:shd w:val="clear" w:color="auto" w:fill="FFFFFF"/>
        <w:spacing w:before="0" w:beforeAutospacing="0" w:after="0" w:afterAutospacing="0"/>
        <w:jc w:val="both"/>
        <w:textAlignment w:val="baseline"/>
        <w:rPr>
          <w:rFonts w:ascii="Arial" w:eastAsiaTheme="majorEastAsia" w:hAnsi="Arial" w:cs="Arial"/>
          <w:color w:val="64777E"/>
          <w:sz w:val="18"/>
          <w:szCs w:val="18"/>
        </w:rPr>
      </w:pPr>
      <w:r w:rsidRPr="00E638C9">
        <w:rPr>
          <w:rStyle w:val="normaltextrun"/>
          <w:rFonts w:ascii="Arial" w:eastAsia="Calibri" w:hAnsi="Arial" w:cs="Arial"/>
          <w:color w:val="76C204"/>
          <w:sz w:val="22"/>
          <w:szCs w:val="22"/>
        </w:rPr>
        <w:t>Idea Generation &amp; Research Process</w:t>
      </w:r>
    </w:p>
    <w:p w14:paraId="47B84BF8" w14:textId="563139BB" w:rsidR="00004BC9" w:rsidRDefault="00531CF7" w:rsidP="00004BC9">
      <w:pPr>
        <w:pStyle w:val="paragraph"/>
        <w:spacing w:before="0" w:beforeAutospacing="0" w:after="0" w:afterAutospacing="0"/>
        <w:textAlignment w:val="baseline"/>
        <w:rPr>
          <w:rFonts w:ascii="Arial" w:eastAsiaTheme="majorEastAsia" w:hAnsi="Arial" w:cs="Arial"/>
          <w:color w:val="64777E"/>
          <w:sz w:val="18"/>
          <w:szCs w:val="18"/>
        </w:rPr>
      </w:pPr>
      <w:r>
        <w:rPr>
          <w:rFonts w:ascii="Arial" w:eastAsiaTheme="majorEastAsia" w:hAnsi="Arial" w:cs="Arial"/>
          <w:color w:val="64777E"/>
          <w:sz w:val="18"/>
          <w:szCs w:val="18"/>
        </w:rPr>
        <w:t xml:space="preserve">The team </w:t>
      </w:r>
      <w:r w:rsidR="00D00727">
        <w:rPr>
          <w:rFonts w:ascii="Arial" w:eastAsiaTheme="majorEastAsia" w:hAnsi="Arial" w:cs="Arial"/>
          <w:color w:val="64777E"/>
          <w:sz w:val="18"/>
          <w:szCs w:val="18"/>
        </w:rPr>
        <w:t>takes a highly a</w:t>
      </w:r>
      <w:r>
        <w:rPr>
          <w:rFonts w:ascii="Arial" w:eastAsiaTheme="majorEastAsia" w:hAnsi="Arial" w:cs="Arial"/>
          <w:color w:val="64777E"/>
          <w:sz w:val="18"/>
          <w:szCs w:val="18"/>
        </w:rPr>
        <w:t xml:space="preserve">ctive </w:t>
      </w:r>
      <w:r w:rsidR="00D00727">
        <w:rPr>
          <w:rFonts w:ascii="Arial" w:eastAsiaTheme="majorEastAsia" w:hAnsi="Arial" w:cs="Arial"/>
          <w:color w:val="64777E"/>
          <w:sz w:val="18"/>
          <w:szCs w:val="18"/>
        </w:rPr>
        <w:t>approach to</w:t>
      </w:r>
      <w:r>
        <w:rPr>
          <w:rFonts w:ascii="Arial" w:eastAsiaTheme="majorEastAsia" w:hAnsi="Arial" w:cs="Arial"/>
          <w:color w:val="64777E"/>
          <w:sz w:val="18"/>
          <w:szCs w:val="18"/>
        </w:rPr>
        <w:t xml:space="preserve"> asset allocation and sector rotation within fixed interest credit markets</w:t>
      </w:r>
      <w:r w:rsidR="00D00727">
        <w:rPr>
          <w:rFonts w:ascii="Arial" w:eastAsiaTheme="majorEastAsia" w:hAnsi="Arial" w:cs="Arial"/>
          <w:color w:val="64777E"/>
          <w:sz w:val="18"/>
          <w:szCs w:val="18"/>
        </w:rPr>
        <w:t>, placing a strong emphasis on macroeconomic outlook</w:t>
      </w:r>
      <w:r>
        <w:rPr>
          <w:rFonts w:ascii="Arial" w:eastAsiaTheme="majorEastAsia" w:hAnsi="Arial" w:cs="Arial"/>
          <w:color w:val="64777E"/>
          <w:sz w:val="18"/>
          <w:szCs w:val="18"/>
        </w:rPr>
        <w:t>.</w:t>
      </w:r>
      <w:r w:rsidR="00D00727">
        <w:rPr>
          <w:rFonts w:ascii="Arial" w:eastAsiaTheme="majorEastAsia" w:hAnsi="Arial" w:cs="Arial"/>
          <w:color w:val="64777E"/>
          <w:sz w:val="18"/>
          <w:szCs w:val="18"/>
        </w:rPr>
        <w:t xml:space="preserve"> This top-down assessment of economic, credit and market conditions </w:t>
      </w:r>
      <w:r w:rsidR="00D1234E">
        <w:rPr>
          <w:rFonts w:ascii="Arial" w:eastAsiaTheme="majorEastAsia" w:hAnsi="Arial" w:cs="Arial"/>
          <w:color w:val="64777E"/>
          <w:sz w:val="18"/>
          <w:szCs w:val="18"/>
        </w:rPr>
        <w:t>drive</w:t>
      </w:r>
      <w:r w:rsidR="00D00727">
        <w:rPr>
          <w:rFonts w:ascii="Arial" w:eastAsiaTheme="majorEastAsia" w:hAnsi="Arial" w:cs="Arial"/>
          <w:color w:val="64777E"/>
          <w:sz w:val="18"/>
          <w:szCs w:val="18"/>
        </w:rPr>
        <w:t xml:space="preserve"> the idea generation and research process. </w:t>
      </w:r>
    </w:p>
    <w:p w14:paraId="4E4298E6" w14:textId="77777777" w:rsidR="00D00727" w:rsidRDefault="00D00727" w:rsidP="00004BC9">
      <w:pPr>
        <w:pStyle w:val="paragraph"/>
        <w:spacing w:before="0" w:beforeAutospacing="0" w:after="0" w:afterAutospacing="0"/>
        <w:textAlignment w:val="baseline"/>
        <w:rPr>
          <w:rFonts w:ascii="Arial" w:eastAsiaTheme="majorEastAsia" w:hAnsi="Arial" w:cs="Arial"/>
          <w:color w:val="64777E"/>
          <w:sz w:val="18"/>
          <w:szCs w:val="18"/>
        </w:rPr>
      </w:pPr>
    </w:p>
    <w:p w14:paraId="33F01D4B" w14:textId="120DD8A8" w:rsidR="00531CF7" w:rsidRDefault="00D1234E" w:rsidP="00004BC9">
      <w:pPr>
        <w:pStyle w:val="paragraph"/>
        <w:spacing w:before="0" w:beforeAutospacing="0" w:after="0" w:afterAutospacing="0"/>
        <w:textAlignment w:val="baseline"/>
        <w:rPr>
          <w:rFonts w:ascii="Arial" w:eastAsiaTheme="majorEastAsia" w:hAnsi="Arial" w:cs="Arial"/>
          <w:color w:val="64777E"/>
          <w:sz w:val="18"/>
          <w:szCs w:val="18"/>
        </w:rPr>
      </w:pPr>
      <w:r w:rsidRPr="00D1234E">
        <w:rPr>
          <w:rFonts w:ascii="Arial" w:eastAsiaTheme="majorEastAsia" w:hAnsi="Arial" w:cs="Arial"/>
          <w:color w:val="64777E"/>
          <w:sz w:val="18"/>
          <w:szCs w:val="18"/>
        </w:rPr>
        <w:t>The research process is divided into three key components: quality, capital preservation, and value. The manager conducts an internal credit quality assessment on specific issuers, evaluating factors such as industry and financial risk, management strength, and ESG considerations. If an issuer passes this assessment, it is added to an approved list, becoming part of the investment universe available for analysts. From this list, analysts perform a detailed credit valuation, analysing various risk components to determine a fair value for potential investments.</w:t>
      </w:r>
      <w:r w:rsidR="00E0708E">
        <w:rPr>
          <w:rFonts w:ascii="Arial" w:eastAsiaTheme="majorEastAsia" w:hAnsi="Arial" w:cs="Arial"/>
          <w:color w:val="64777E"/>
          <w:sz w:val="18"/>
          <w:szCs w:val="18"/>
        </w:rPr>
        <w:t xml:space="preserve"> </w:t>
      </w:r>
      <w:r w:rsidR="00E0708E" w:rsidRPr="00E0708E">
        <w:rPr>
          <w:rFonts w:ascii="Arial" w:eastAsiaTheme="majorEastAsia" w:hAnsi="Arial" w:cs="Arial"/>
          <w:color w:val="64777E"/>
          <w:sz w:val="18"/>
          <w:szCs w:val="18"/>
        </w:rPr>
        <w:t>Securities that meet all the criteria—quality, capital preservation, and value—are included in the portfolio when they align with the team's current sector allocation</w:t>
      </w:r>
      <w:r w:rsidR="00E0708E">
        <w:rPr>
          <w:rFonts w:ascii="Arial" w:eastAsiaTheme="majorEastAsia" w:hAnsi="Arial" w:cs="Arial"/>
          <w:color w:val="64777E"/>
          <w:sz w:val="18"/>
          <w:szCs w:val="18"/>
        </w:rPr>
        <w:t xml:space="preserve">. </w:t>
      </w:r>
      <w:r w:rsidR="00E0708E" w:rsidRPr="00E0708E">
        <w:rPr>
          <w:rFonts w:ascii="Arial" w:eastAsiaTheme="majorEastAsia" w:hAnsi="Arial" w:cs="Arial"/>
          <w:color w:val="64777E"/>
          <w:sz w:val="18"/>
          <w:szCs w:val="18"/>
        </w:rPr>
        <w:t>This ensures that investments are not only fundamentally sound but also strategically positioned within the broader market context.</w:t>
      </w:r>
    </w:p>
    <w:p w14:paraId="709F4551" w14:textId="77777777" w:rsidR="00D1234E" w:rsidRDefault="00D1234E" w:rsidP="00004BC9">
      <w:pPr>
        <w:pStyle w:val="paragraph"/>
        <w:spacing w:before="0" w:beforeAutospacing="0" w:after="0" w:afterAutospacing="0"/>
        <w:textAlignment w:val="baseline"/>
        <w:rPr>
          <w:rFonts w:ascii="Arial" w:eastAsiaTheme="majorEastAsia" w:hAnsi="Arial" w:cs="Arial"/>
          <w:color w:val="64777E"/>
          <w:sz w:val="18"/>
          <w:szCs w:val="18"/>
        </w:rPr>
      </w:pPr>
    </w:p>
    <w:p w14:paraId="27F06A48" w14:textId="1E9ED8FE" w:rsidR="00D1234E" w:rsidRDefault="00D1234E" w:rsidP="00004BC9">
      <w:pPr>
        <w:pStyle w:val="paragraph"/>
        <w:spacing w:before="0" w:beforeAutospacing="0" w:after="0" w:afterAutospacing="0"/>
        <w:textAlignment w:val="baseline"/>
        <w:rPr>
          <w:rFonts w:ascii="Arial" w:eastAsiaTheme="majorEastAsia" w:hAnsi="Arial" w:cs="Arial"/>
          <w:color w:val="64777E"/>
          <w:sz w:val="18"/>
          <w:szCs w:val="18"/>
        </w:rPr>
      </w:pPr>
      <w:r>
        <w:rPr>
          <w:rFonts w:ascii="Arial" w:eastAsiaTheme="majorEastAsia" w:hAnsi="Arial" w:cs="Arial"/>
          <w:color w:val="64777E"/>
          <w:sz w:val="18"/>
          <w:szCs w:val="18"/>
        </w:rPr>
        <w:t>The Manager’s process has a clear focus on limiting drawdowns and risk management</w:t>
      </w:r>
      <w:r w:rsidR="003D07BA">
        <w:rPr>
          <w:rFonts w:ascii="Arial" w:eastAsiaTheme="majorEastAsia" w:hAnsi="Arial" w:cs="Arial"/>
          <w:color w:val="64777E"/>
          <w:sz w:val="18"/>
          <w:szCs w:val="18"/>
        </w:rPr>
        <w:t xml:space="preserve"> through the in-house credit quality assessment</w:t>
      </w:r>
      <w:r>
        <w:rPr>
          <w:rFonts w:ascii="Arial" w:eastAsiaTheme="majorEastAsia" w:hAnsi="Arial" w:cs="Arial"/>
          <w:color w:val="64777E"/>
          <w:sz w:val="18"/>
          <w:szCs w:val="18"/>
        </w:rPr>
        <w:t xml:space="preserve">. </w:t>
      </w:r>
      <w:r w:rsidRPr="00D1234E">
        <w:rPr>
          <w:rFonts w:ascii="Arial" w:eastAsiaTheme="majorEastAsia" w:hAnsi="Arial" w:cs="Arial"/>
          <w:color w:val="64777E"/>
          <w:sz w:val="18"/>
          <w:szCs w:val="18"/>
        </w:rPr>
        <w:t>Given the size of the team and their ability to leverage insights from Janus Henderson's global fixed income and equity teams, the focus on top-down sector allocation within credit is seen as both pragmatic and highly adaptable to the fund’s investment universe.</w:t>
      </w:r>
    </w:p>
    <w:p w14:paraId="53E4E184" w14:textId="77777777" w:rsidR="00D1234E" w:rsidRDefault="00D1234E" w:rsidP="00004BC9">
      <w:pPr>
        <w:pStyle w:val="paragraph"/>
        <w:spacing w:before="0" w:beforeAutospacing="0" w:after="0" w:afterAutospacing="0"/>
        <w:textAlignment w:val="baseline"/>
        <w:rPr>
          <w:rFonts w:ascii="Arial" w:eastAsiaTheme="majorEastAsia" w:hAnsi="Arial" w:cs="Arial"/>
          <w:color w:val="64777E"/>
          <w:sz w:val="18"/>
          <w:szCs w:val="18"/>
        </w:rPr>
      </w:pPr>
    </w:p>
    <w:p w14:paraId="6BFAFD2F" w14:textId="0856B968" w:rsidR="00D1234E" w:rsidRDefault="00D1234E" w:rsidP="00004BC9">
      <w:pPr>
        <w:pStyle w:val="paragraph"/>
        <w:spacing w:before="0" w:beforeAutospacing="0" w:after="0" w:afterAutospacing="0"/>
        <w:textAlignment w:val="baseline"/>
        <w:rPr>
          <w:rFonts w:ascii="Arial" w:eastAsiaTheme="majorEastAsia" w:hAnsi="Arial" w:cs="Arial"/>
          <w:color w:val="64777E"/>
          <w:sz w:val="18"/>
          <w:szCs w:val="18"/>
        </w:rPr>
      </w:pPr>
      <w:r w:rsidRPr="00D1234E">
        <w:rPr>
          <w:rFonts w:ascii="Arial" w:eastAsiaTheme="majorEastAsia" w:hAnsi="Arial" w:cs="Arial"/>
          <w:noProof/>
          <w:color w:val="64777E"/>
          <w:sz w:val="18"/>
          <w:szCs w:val="18"/>
        </w:rPr>
        <w:drawing>
          <wp:inline distT="0" distB="0" distL="0" distR="0" wp14:anchorId="02138A79" wp14:editId="5D4D3926">
            <wp:extent cx="4314825" cy="2902205"/>
            <wp:effectExtent l="0" t="0" r="0" b="0"/>
            <wp:docPr id="2057243644"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243644" name="Picture 1" descr="A diagram of a process&#10;&#10;Description automatically generated"/>
                    <pic:cNvPicPr/>
                  </pic:nvPicPr>
                  <pic:blipFill>
                    <a:blip r:embed="rId14"/>
                    <a:stretch>
                      <a:fillRect/>
                    </a:stretch>
                  </pic:blipFill>
                  <pic:spPr>
                    <a:xfrm>
                      <a:off x="0" y="0"/>
                      <a:ext cx="4334096" cy="2915167"/>
                    </a:xfrm>
                    <a:prstGeom prst="rect">
                      <a:avLst/>
                    </a:prstGeom>
                  </pic:spPr>
                </pic:pic>
              </a:graphicData>
            </a:graphic>
          </wp:inline>
        </w:drawing>
      </w:r>
    </w:p>
    <w:p w14:paraId="364F9BFC" w14:textId="77777777" w:rsidR="00531CF7" w:rsidRDefault="00531CF7" w:rsidP="00004BC9">
      <w:pPr>
        <w:pStyle w:val="paragraph"/>
        <w:spacing w:before="0" w:beforeAutospacing="0" w:after="0" w:afterAutospacing="0"/>
        <w:textAlignment w:val="baseline"/>
        <w:rPr>
          <w:rFonts w:ascii="Arial" w:eastAsiaTheme="majorEastAsia" w:hAnsi="Arial" w:cs="Arial"/>
          <w:color w:val="64777E"/>
          <w:sz w:val="18"/>
          <w:szCs w:val="18"/>
        </w:rPr>
      </w:pPr>
    </w:p>
    <w:p w14:paraId="044736F3" w14:textId="77777777" w:rsidR="00004BC9" w:rsidRPr="0098125E" w:rsidRDefault="00004BC9" w:rsidP="00004BC9">
      <w:pPr>
        <w:pStyle w:val="paragraph"/>
        <w:shd w:val="clear" w:color="auto" w:fill="FFFFFF"/>
        <w:spacing w:before="0" w:beforeAutospacing="0" w:after="0" w:afterAutospacing="0"/>
        <w:jc w:val="both"/>
        <w:textAlignment w:val="baseline"/>
        <w:rPr>
          <w:rFonts w:ascii="Arial" w:eastAsiaTheme="majorEastAsia" w:hAnsi="Arial" w:cs="Arial"/>
          <w:color w:val="64777E"/>
          <w:sz w:val="18"/>
          <w:szCs w:val="18"/>
        </w:rPr>
      </w:pPr>
      <w:r w:rsidRPr="0098125E">
        <w:rPr>
          <w:rStyle w:val="normaltextrun"/>
          <w:rFonts w:ascii="Arial" w:eastAsia="Calibri" w:hAnsi="Arial" w:cs="Arial"/>
          <w:color w:val="76C204"/>
          <w:sz w:val="22"/>
          <w:szCs w:val="22"/>
        </w:rPr>
        <w:t>Portfolio Construction</w:t>
      </w:r>
    </w:p>
    <w:p w14:paraId="3B13B130" w14:textId="503EBF8B" w:rsidR="00004BC9" w:rsidRDefault="00004BC9" w:rsidP="00004BC9">
      <w:pPr>
        <w:pStyle w:val="paragraph"/>
        <w:shd w:val="clear" w:color="auto" w:fill="FFFFFF"/>
        <w:spacing w:before="0" w:beforeAutospacing="0" w:after="0" w:afterAutospacing="0"/>
        <w:jc w:val="both"/>
        <w:textAlignment w:val="baseline"/>
        <w:rPr>
          <w:rStyle w:val="normaltextrun"/>
          <w:rFonts w:ascii="Arial" w:eastAsiaTheme="majorEastAsia" w:hAnsi="Arial" w:cs="Arial"/>
          <w:color w:val="64777E"/>
          <w:sz w:val="18"/>
          <w:szCs w:val="18"/>
        </w:rPr>
      </w:pPr>
      <w:r>
        <w:rPr>
          <w:rStyle w:val="normaltextrun"/>
          <w:rFonts w:ascii="Arial" w:eastAsiaTheme="majorEastAsia" w:hAnsi="Arial" w:cs="Arial"/>
          <w:color w:val="64777E"/>
          <w:sz w:val="18"/>
          <w:szCs w:val="18"/>
        </w:rPr>
        <w:t xml:space="preserve">The Portfolio is constructed </w:t>
      </w:r>
      <w:r w:rsidR="007D7FEC">
        <w:rPr>
          <w:rStyle w:val="normaltextrun"/>
          <w:rFonts w:ascii="Arial" w:eastAsiaTheme="majorEastAsia" w:hAnsi="Arial" w:cs="Arial"/>
          <w:color w:val="64777E"/>
          <w:sz w:val="18"/>
          <w:szCs w:val="18"/>
        </w:rPr>
        <w:t xml:space="preserve">in a </w:t>
      </w:r>
      <w:r w:rsidR="002D4EB0">
        <w:rPr>
          <w:rStyle w:val="normaltextrun"/>
          <w:rFonts w:ascii="Arial" w:eastAsiaTheme="majorEastAsia" w:hAnsi="Arial" w:cs="Arial"/>
          <w:color w:val="64777E"/>
          <w:sz w:val="18"/>
          <w:szCs w:val="18"/>
        </w:rPr>
        <w:t xml:space="preserve">differentiated manner, being 70% direct investment </w:t>
      </w:r>
      <w:r w:rsidR="0014693D">
        <w:rPr>
          <w:rStyle w:val="normaltextrun"/>
          <w:rFonts w:ascii="Arial" w:eastAsiaTheme="majorEastAsia" w:hAnsi="Arial" w:cs="Arial"/>
          <w:color w:val="64777E"/>
          <w:sz w:val="18"/>
          <w:szCs w:val="18"/>
        </w:rPr>
        <w:t>and</w:t>
      </w:r>
      <w:r w:rsidR="002D4EB0">
        <w:rPr>
          <w:rStyle w:val="normaltextrun"/>
          <w:rFonts w:ascii="Arial" w:eastAsiaTheme="majorEastAsia" w:hAnsi="Arial" w:cs="Arial"/>
          <w:color w:val="64777E"/>
          <w:sz w:val="18"/>
          <w:szCs w:val="18"/>
        </w:rPr>
        <w:t xml:space="preserve"> the remaining 30% allocated as a fund of fund’s structure. </w:t>
      </w:r>
      <w:r w:rsidR="00304066">
        <w:rPr>
          <w:rStyle w:val="normaltextrun"/>
          <w:rFonts w:ascii="Arial" w:eastAsiaTheme="majorEastAsia" w:hAnsi="Arial" w:cs="Arial"/>
          <w:color w:val="64777E"/>
          <w:sz w:val="18"/>
          <w:szCs w:val="18"/>
        </w:rPr>
        <w:t>The direct investment sleeve is driven by the top-down sector and allocation views</w:t>
      </w:r>
      <w:r w:rsidR="00FA5078">
        <w:rPr>
          <w:rStyle w:val="normaltextrun"/>
          <w:rFonts w:ascii="Arial" w:eastAsiaTheme="majorEastAsia" w:hAnsi="Arial" w:cs="Arial"/>
          <w:color w:val="64777E"/>
          <w:sz w:val="18"/>
          <w:szCs w:val="18"/>
        </w:rPr>
        <w:t xml:space="preserve"> and </w:t>
      </w:r>
      <w:r w:rsidR="00304066">
        <w:rPr>
          <w:rStyle w:val="normaltextrun"/>
          <w:rFonts w:ascii="Arial" w:eastAsiaTheme="majorEastAsia" w:hAnsi="Arial" w:cs="Arial"/>
          <w:color w:val="64777E"/>
          <w:sz w:val="18"/>
          <w:szCs w:val="18"/>
        </w:rPr>
        <w:t xml:space="preserve">is </w:t>
      </w:r>
      <w:r w:rsidR="00457F0C">
        <w:rPr>
          <w:rStyle w:val="normaltextrun"/>
          <w:rFonts w:ascii="Arial" w:eastAsiaTheme="majorEastAsia" w:hAnsi="Arial" w:cs="Arial"/>
          <w:color w:val="64777E"/>
          <w:sz w:val="18"/>
          <w:szCs w:val="18"/>
        </w:rPr>
        <w:t xml:space="preserve">unconstrained in terms of credit quality, </w:t>
      </w:r>
      <w:r w:rsidR="00FA5078">
        <w:rPr>
          <w:rStyle w:val="normaltextrun"/>
          <w:rFonts w:ascii="Arial" w:eastAsiaTheme="majorEastAsia" w:hAnsi="Arial" w:cs="Arial"/>
          <w:color w:val="64777E"/>
          <w:sz w:val="18"/>
          <w:szCs w:val="18"/>
        </w:rPr>
        <w:t>although</w:t>
      </w:r>
      <w:r w:rsidR="00304066">
        <w:rPr>
          <w:rStyle w:val="normaltextrun"/>
          <w:rFonts w:ascii="Arial" w:eastAsiaTheme="majorEastAsia" w:hAnsi="Arial" w:cs="Arial"/>
          <w:color w:val="64777E"/>
          <w:sz w:val="18"/>
          <w:szCs w:val="18"/>
        </w:rPr>
        <w:t xml:space="preserve"> average credit rating </w:t>
      </w:r>
      <w:r w:rsidR="00FA5078">
        <w:rPr>
          <w:rStyle w:val="normaltextrun"/>
          <w:rFonts w:ascii="Arial" w:eastAsiaTheme="majorEastAsia" w:hAnsi="Arial" w:cs="Arial"/>
          <w:color w:val="64777E"/>
          <w:sz w:val="18"/>
          <w:szCs w:val="18"/>
        </w:rPr>
        <w:t>is expected to be</w:t>
      </w:r>
      <w:r w:rsidR="00304066">
        <w:rPr>
          <w:rStyle w:val="normaltextrun"/>
          <w:rFonts w:ascii="Arial" w:eastAsiaTheme="majorEastAsia" w:hAnsi="Arial" w:cs="Arial"/>
          <w:color w:val="64777E"/>
          <w:sz w:val="18"/>
          <w:szCs w:val="18"/>
        </w:rPr>
        <w:t xml:space="preserve"> BBB through the cycle</w:t>
      </w:r>
      <w:r w:rsidR="0039094C">
        <w:rPr>
          <w:rStyle w:val="normaltextrun"/>
          <w:rFonts w:ascii="Arial" w:eastAsiaTheme="majorEastAsia" w:hAnsi="Arial" w:cs="Arial"/>
          <w:color w:val="64777E"/>
          <w:sz w:val="18"/>
          <w:szCs w:val="18"/>
        </w:rPr>
        <w:t>. The manager</w:t>
      </w:r>
      <w:r w:rsidR="00FA5078">
        <w:rPr>
          <w:rStyle w:val="normaltextrun"/>
          <w:rFonts w:ascii="Arial" w:eastAsiaTheme="majorEastAsia" w:hAnsi="Arial" w:cs="Arial"/>
          <w:color w:val="64777E"/>
          <w:sz w:val="18"/>
          <w:szCs w:val="18"/>
        </w:rPr>
        <w:t xml:space="preserve"> </w:t>
      </w:r>
      <w:r w:rsidR="0039094C">
        <w:rPr>
          <w:rStyle w:val="normaltextrun"/>
          <w:rFonts w:ascii="Arial" w:eastAsiaTheme="majorEastAsia" w:hAnsi="Arial" w:cs="Arial"/>
          <w:color w:val="64777E"/>
          <w:sz w:val="18"/>
          <w:szCs w:val="18"/>
        </w:rPr>
        <w:t>aim</w:t>
      </w:r>
      <w:r w:rsidR="00FA5078">
        <w:rPr>
          <w:rStyle w:val="normaltextrun"/>
          <w:rFonts w:ascii="Arial" w:eastAsiaTheme="majorEastAsia" w:hAnsi="Arial" w:cs="Arial"/>
          <w:color w:val="64777E"/>
          <w:sz w:val="18"/>
          <w:szCs w:val="18"/>
        </w:rPr>
        <w:t>s</w:t>
      </w:r>
      <w:r w:rsidR="0039094C">
        <w:rPr>
          <w:rStyle w:val="normaltextrun"/>
          <w:rFonts w:ascii="Arial" w:eastAsiaTheme="majorEastAsia" w:hAnsi="Arial" w:cs="Arial"/>
          <w:color w:val="64777E"/>
          <w:sz w:val="18"/>
          <w:szCs w:val="18"/>
        </w:rPr>
        <w:t xml:space="preserve"> to m</w:t>
      </w:r>
      <w:r w:rsidR="00D33BA4">
        <w:rPr>
          <w:rStyle w:val="normaltextrun"/>
          <w:rFonts w:ascii="Arial" w:eastAsiaTheme="majorEastAsia" w:hAnsi="Arial" w:cs="Arial"/>
          <w:color w:val="64777E"/>
          <w:sz w:val="18"/>
          <w:szCs w:val="18"/>
        </w:rPr>
        <w:t>aintain</w:t>
      </w:r>
      <w:r w:rsidR="0039094C">
        <w:rPr>
          <w:rStyle w:val="normaltextrun"/>
          <w:rFonts w:ascii="Arial" w:eastAsiaTheme="majorEastAsia" w:hAnsi="Arial" w:cs="Arial"/>
          <w:color w:val="64777E"/>
          <w:sz w:val="18"/>
          <w:szCs w:val="18"/>
        </w:rPr>
        <w:t xml:space="preserve"> duration between zero to one. </w:t>
      </w:r>
    </w:p>
    <w:p w14:paraId="19E4C118" w14:textId="77777777" w:rsidR="00A01B0A" w:rsidRDefault="00A01B0A" w:rsidP="00004BC9">
      <w:pPr>
        <w:pStyle w:val="paragraph"/>
        <w:shd w:val="clear" w:color="auto" w:fill="FFFFFF"/>
        <w:spacing w:before="0" w:beforeAutospacing="0" w:after="0" w:afterAutospacing="0"/>
        <w:jc w:val="both"/>
        <w:textAlignment w:val="baseline"/>
        <w:rPr>
          <w:rStyle w:val="normaltextrun"/>
          <w:rFonts w:ascii="Arial" w:eastAsiaTheme="majorEastAsia" w:hAnsi="Arial" w:cs="Arial"/>
          <w:color w:val="64777E"/>
          <w:sz w:val="18"/>
          <w:szCs w:val="18"/>
        </w:rPr>
      </w:pPr>
    </w:p>
    <w:p w14:paraId="7D815F04" w14:textId="46B0B93E" w:rsidR="00004BC9" w:rsidRDefault="00A01B0A" w:rsidP="00D4781D">
      <w:pPr>
        <w:pStyle w:val="paragraph"/>
        <w:shd w:val="clear" w:color="auto" w:fill="FFFFFF"/>
        <w:spacing w:before="0" w:beforeAutospacing="0" w:after="0" w:afterAutospacing="0"/>
        <w:jc w:val="both"/>
        <w:textAlignment w:val="baseline"/>
        <w:rPr>
          <w:rStyle w:val="normaltextrun"/>
          <w:rFonts w:ascii="Arial" w:eastAsiaTheme="majorEastAsia" w:hAnsi="Arial" w:cs="Arial"/>
          <w:color w:val="64777E"/>
          <w:sz w:val="18"/>
          <w:szCs w:val="18"/>
        </w:rPr>
      </w:pPr>
      <w:r>
        <w:rPr>
          <w:rStyle w:val="normaltextrun"/>
          <w:rFonts w:ascii="Arial" w:eastAsiaTheme="majorEastAsia" w:hAnsi="Arial" w:cs="Arial"/>
          <w:color w:val="64777E"/>
          <w:sz w:val="18"/>
          <w:szCs w:val="18"/>
        </w:rPr>
        <w:t xml:space="preserve">The 30% Fund of Fund allocation is used to allocate to markets in which they do not have a </w:t>
      </w:r>
      <w:r w:rsidR="003744C0">
        <w:rPr>
          <w:rStyle w:val="normaltextrun"/>
          <w:rFonts w:ascii="Arial" w:eastAsiaTheme="majorEastAsia" w:hAnsi="Arial" w:cs="Arial"/>
          <w:color w:val="64777E"/>
          <w:sz w:val="18"/>
          <w:szCs w:val="18"/>
        </w:rPr>
        <w:t xml:space="preserve">clear look through. For </w:t>
      </w:r>
      <w:r w:rsidR="00D33BA4">
        <w:rPr>
          <w:rStyle w:val="normaltextrun"/>
          <w:rFonts w:ascii="Arial" w:eastAsiaTheme="majorEastAsia" w:hAnsi="Arial" w:cs="Arial"/>
          <w:color w:val="64777E"/>
          <w:sz w:val="18"/>
          <w:szCs w:val="18"/>
        </w:rPr>
        <w:t>example,</w:t>
      </w:r>
      <w:r w:rsidR="003744C0">
        <w:rPr>
          <w:rStyle w:val="normaltextrun"/>
          <w:rFonts w:ascii="Arial" w:eastAsiaTheme="majorEastAsia" w:hAnsi="Arial" w:cs="Arial"/>
          <w:color w:val="64777E"/>
          <w:sz w:val="18"/>
          <w:szCs w:val="18"/>
        </w:rPr>
        <w:t xml:space="preserve"> </w:t>
      </w:r>
      <w:r w:rsidR="00F8495B" w:rsidRPr="00F8495B">
        <w:rPr>
          <w:rStyle w:val="normaltextrun"/>
          <w:rFonts w:ascii="Arial" w:eastAsiaTheme="majorEastAsia" w:hAnsi="Arial" w:cs="Arial"/>
          <w:color w:val="64777E"/>
          <w:sz w:val="18"/>
          <w:szCs w:val="18"/>
        </w:rPr>
        <w:t>they may allocate to an emerging market debt fund within Janus Henderson to achieve broader diversification</w:t>
      </w:r>
      <w:r w:rsidR="003744C0">
        <w:rPr>
          <w:rStyle w:val="normaltextrun"/>
          <w:rFonts w:ascii="Arial" w:eastAsiaTheme="majorEastAsia" w:hAnsi="Arial" w:cs="Arial"/>
          <w:color w:val="64777E"/>
          <w:sz w:val="18"/>
          <w:szCs w:val="18"/>
        </w:rPr>
        <w:t xml:space="preserve">. </w:t>
      </w:r>
      <w:r w:rsidR="00394384">
        <w:rPr>
          <w:rStyle w:val="normaltextrun"/>
          <w:rFonts w:ascii="Arial" w:eastAsiaTheme="majorEastAsia" w:hAnsi="Arial" w:cs="Arial"/>
          <w:color w:val="64777E"/>
          <w:sz w:val="18"/>
          <w:szCs w:val="18"/>
        </w:rPr>
        <w:t>T</w:t>
      </w:r>
      <w:r w:rsidR="00735455">
        <w:rPr>
          <w:rStyle w:val="normaltextrun"/>
          <w:rFonts w:ascii="Arial" w:eastAsiaTheme="majorEastAsia" w:hAnsi="Arial" w:cs="Arial"/>
          <w:color w:val="64777E"/>
          <w:sz w:val="18"/>
          <w:szCs w:val="18"/>
        </w:rPr>
        <w:t xml:space="preserve">his approach is seen as pragmatic and allows for a more risk aware approach to portfolio construction. </w:t>
      </w:r>
      <w:r w:rsidR="001D1DBB">
        <w:rPr>
          <w:rStyle w:val="normaltextrun"/>
          <w:rFonts w:ascii="Arial" w:eastAsiaTheme="majorEastAsia" w:hAnsi="Arial" w:cs="Arial"/>
          <w:color w:val="64777E"/>
          <w:sz w:val="18"/>
          <w:szCs w:val="18"/>
        </w:rPr>
        <w:t>The manager will conduct a thorough due-</w:t>
      </w:r>
      <w:r w:rsidR="000203AD">
        <w:rPr>
          <w:rStyle w:val="normaltextrun"/>
          <w:rFonts w:ascii="Arial" w:eastAsiaTheme="majorEastAsia" w:hAnsi="Arial" w:cs="Arial"/>
          <w:color w:val="64777E"/>
          <w:sz w:val="18"/>
          <w:szCs w:val="18"/>
        </w:rPr>
        <w:t>diligence</w:t>
      </w:r>
      <w:r w:rsidR="001D1DBB">
        <w:rPr>
          <w:rStyle w:val="normaltextrun"/>
          <w:rFonts w:ascii="Arial" w:eastAsiaTheme="majorEastAsia" w:hAnsi="Arial" w:cs="Arial"/>
          <w:color w:val="64777E"/>
          <w:sz w:val="18"/>
          <w:szCs w:val="18"/>
        </w:rPr>
        <w:t xml:space="preserve"> process on the funds they allocate to. </w:t>
      </w:r>
      <w:r w:rsidR="0017427A">
        <w:rPr>
          <w:rStyle w:val="normaltextrun"/>
          <w:rFonts w:ascii="Arial" w:eastAsiaTheme="majorEastAsia" w:hAnsi="Arial" w:cs="Arial"/>
          <w:color w:val="64777E"/>
          <w:sz w:val="18"/>
          <w:szCs w:val="18"/>
        </w:rPr>
        <w:t xml:space="preserve">They do have the ability to </w:t>
      </w:r>
      <w:r w:rsidR="00C3632E">
        <w:rPr>
          <w:rStyle w:val="normaltextrun"/>
          <w:rFonts w:ascii="Arial" w:eastAsiaTheme="majorEastAsia" w:hAnsi="Arial" w:cs="Arial"/>
          <w:color w:val="64777E"/>
          <w:sz w:val="18"/>
          <w:szCs w:val="18"/>
        </w:rPr>
        <w:t>invest in</w:t>
      </w:r>
      <w:r w:rsidR="0017427A">
        <w:rPr>
          <w:rStyle w:val="normaltextrun"/>
          <w:rFonts w:ascii="Arial" w:eastAsiaTheme="majorEastAsia" w:hAnsi="Arial" w:cs="Arial"/>
          <w:color w:val="64777E"/>
          <w:sz w:val="18"/>
          <w:szCs w:val="18"/>
        </w:rPr>
        <w:t xml:space="preserve"> funds outside of Janus Henderson, however, to date they </w:t>
      </w:r>
      <w:r w:rsidR="000203AD">
        <w:rPr>
          <w:rStyle w:val="normaltextrun"/>
          <w:rFonts w:ascii="Arial" w:eastAsiaTheme="majorEastAsia" w:hAnsi="Arial" w:cs="Arial"/>
          <w:color w:val="64777E"/>
          <w:sz w:val="18"/>
          <w:szCs w:val="18"/>
        </w:rPr>
        <w:t>have only allocated in house. There are s</w:t>
      </w:r>
      <w:r w:rsidR="000203AD" w:rsidRPr="000203AD">
        <w:rPr>
          <w:rStyle w:val="normaltextrun"/>
          <w:rFonts w:ascii="Arial" w:eastAsiaTheme="majorEastAsia" w:hAnsi="Arial" w:cs="Arial"/>
          <w:color w:val="64777E"/>
          <w:sz w:val="18"/>
          <w:szCs w:val="18"/>
        </w:rPr>
        <w:t xml:space="preserve">ome concerns around the </w:t>
      </w:r>
      <w:r w:rsidR="000203AD">
        <w:rPr>
          <w:rStyle w:val="normaltextrun"/>
          <w:rFonts w:ascii="Arial" w:eastAsiaTheme="majorEastAsia" w:hAnsi="Arial" w:cs="Arial"/>
          <w:color w:val="64777E"/>
          <w:sz w:val="18"/>
          <w:szCs w:val="18"/>
        </w:rPr>
        <w:t>exclusive</w:t>
      </w:r>
      <w:r w:rsidR="00C3632E">
        <w:rPr>
          <w:rStyle w:val="normaltextrun"/>
          <w:rFonts w:ascii="Arial" w:eastAsiaTheme="majorEastAsia" w:hAnsi="Arial" w:cs="Arial"/>
          <w:color w:val="64777E"/>
          <w:sz w:val="18"/>
          <w:szCs w:val="18"/>
        </w:rPr>
        <w:t xml:space="preserve"> allocation</w:t>
      </w:r>
      <w:r w:rsidR="000203AD">
        <w:rPr>
          <w:rStyle w:val="normaltextrun"/>
          <w:rFonts w:ascii="Arial" w:eastAsiaTheme="majorEastAsia" w:hAnsi="Arial" w:cs="Arial"/>
          <w:color w:val="64777E"/>
          <w:sz w:val="18"/>
          <w:szCs w:val="18"/>
        </w:rPr>
        <w:t xml:space="preserve"> to</w:t>
      </w:r>
      <w:r w:rsidR="000203AD" w:rsidRPr="000203AD">
        <w:rPr>
          <w:rStyle w:val="normaltextrun"/>
          <w:rFonts w:ascii="Arial" w:eastAsiaTheme="majorEastAsia" w:hAnsi="Arial" w:cs="Arial"/>
          <w:color w:val="64777E"/>
          <w:sz w:val="18"/>
          <w:szCs w:val="18"/>
        </w:rPr>
        <w:t xml:space="preserve"> Janus Funds</w:t>
      </w:r>
      <w:r w:rsidR="00D4781D">
        <w:rPr>
          <w:rStyle w:val="normaltextrun"/>
          <w:rFonts w:ascii="Arial" w:eastAsiaTheme="majorEastAsia" w:hAnsi="Arial" w:cs="Arial"/>
          <w:color w:val="64777E"/>
          <w:sz w:val="18"/>
          <w:szCs w:val="18"/>
        </w:rPr>
        <w:t>,</w:t>
      </w:r>
      <w:r w:rsidR="000203AD" w:rsidRPr="000203AD">
        <w:rPr>
          <w:rStyle w:val="normaltextrun"/>
          <w:rFonts w:ascii="Arial" w:eastAsiaTheme="majorEastAsia" w:hAnsi="Arial" w:cs="Arial"/>
          <w:color w:val="64777E"/>
          <w:sz w:val="18"/>
          <w:szCs w:val="18"/>
        </w:rPr>
        <w:t xml:space="preserve"> which </w:t>
      </w:r>
      <w:r w:rsidR="00D4781D">
        <w:rPr>
          <w:rStyle w:val="normaltextrun"/>
          <w:rFonts w:ascii="Arial" w:eastAsiaTheme="majorEastAsia" w:hAnsi="Arial" w:cs="Arial"/>
          <w:color w:val="64777E"/>
          <w:sz w:val="18"/>
          <w:szCs w:val="18"/>
        </w:rPr>
        <w:t xml:space="preserve">could </w:t>
      </w:r>
      <w:r w:rsidR="000203AD" w:rsidRPr="000203AD">
        <w:rPr>
          <w:rStyle w:val="normaltextrun"/>
          <w:rFonts w:ascii="Arial" w:eastAsiaTheme="majorEastAsia" w:hAnsi="Arial" w:cs="Arial"/>
          <w:color w:val="64777E"/>
          <w:sz w:val="18"/>
          <w:szCs w:val="18"/>
        </w:rPr>
        <w:t xml:space="preserve">present </w:t>
      </w:r>
      <w:r w:rsidR="00D4781D">
        <w:rPr>
          <w:rStyle w:val="normaltextrun"/>
          <w:rFonts w:ascii="Arial" w:eastAsiaTheme="majorEastAsia" w:hAnsi="Arial" w:cs="Arial"/>
          <w:color w:val="64777E"/>
          <w:sz w:val="18"/>
          <w:szCs w:val="18"/>
        </w:rPr>
        <w:t>a</w:t>
      </w:r>
      <w:r w:rsidR="000203AD" w:rsidRPr="000203AD">
        <w:rPr>
          <w:rStyle w:val="normaltextrun"/>
          <w:rFonts w:ascii="Arial" w:eastAsiaTheme="majorEastAsia" w:hAnsi="Arial" w:cs="Arial"/>
          <w:color w:val="64777E"/>
          <w:sz w:val="18"/>
          <w:szCs w:val="18"/>
        </w:rPr>
        <w:t>n agency issue, however, performance to date has not elevated the concern.</w:t>
      </w:r>
    </w:p>
    <w:p w14:paraId="35320E8C" w14:textId="77777777" w:rsidR="00D4781D" w:rsidRDefault="00D4781D" w:rsidP="00D4781D">
      <w:pPr>
        <w:pStyle w:val="paragraph"/>
        <w:shd w:val="clear" w:color="auto" w:fill="FFFFFF"/>
        <w:spacing w:before="0" w:beforeAutospacing="0" w:after="0" w:afterAutospacing="0"/>
        <w:jc w:val="both"/>
        <w:textAlignment w:val="baseline"/>
        <w:rPr>
          <w:rStyle w:val="normaltextrun"/>
          <w:rFonts w:ascii="Arial" w:eastAsiaTheme="majorEastAsia" w:hAnsi="Arial" w:cs="Arial"/>
          <w:color w:val="64777E"/>
          <w:sz w:val="18"/>
          <w:szCs w:val="18"/>
        </w:rPr>
      </w:pPr>
    </w:p>
    <w:p w14:paraId="1F7A03A9" w14:textId="77777777" w:rsidR="00200057" w:rsidRDefault="00004BC9" w:rsidP="00200057">
      <w:pPr>
        <w:pStyle w:val="paragraph"/>
        <w:shd w:val="clear" w:color="auto" w:fill="FFFFFF"/>
        <w:spacing w:before="0" w:beforeAutospacing="0" w:after="0" w:afterAutospacing="0"/>
        <w:jc w:val="both"/>
        <w:textAlignment w:val="baseline"/>
        <w:rPr>
          <w:rStyle w:val="normaltextrun"/>
          <w:rFonts w:ascii="Arial" w:eastAsia="Calibri" w:hAnsi="Arial" w:cs="Arial"/>
          <w:color w:val="76C204"/>
          <w:sz w:val="22"/>
          <w:szCs w:val="22"/>
        </w:rPr>
      </w:pPr>
      <w:r w:rsidRPr="0098125E">
        <w:rPr>
          <w:rStyle w:val="normaltextrun"/>
          <w:rFonts w:ascii="Arial" w:eastAsia="Calibri" w:hAnsi="Arial" w:cs="Arial"/>
          <w:color w:val="76C204"/>
          <w:sz w:val="22"/>
          <w:szCs w:val="22"/>
        </w:rPr>
        <w:t>Risk Management</w:t>
      </w:r>
    </w:p>
    <w:p w14:paraId="4661DEB4" w14:textId="610F353B" w:rsidR="00003A68" w:rsidRDefault="00003A68" w:rsidP="00200057">
      <w:pPr>
        <w:pStyle w:val="paragraph"/>
        <w:shd w:val="clear" w:color="auto" w:fill="FFFFFF"/>
        <w:spacing w:before="0" w:beforeAutospacing="0" w:after="0" w:afterAutospacing="0"/>
        <w:jc w:val="both"/>
        <w:textAlignment w:val="baseline"/>
        <w:rPr>
          <w:rStyle w:val="normaltextrun"/>
          <w:rFonts w:ascii="Arial" w:eastAsiaTheme="majorEastAsia" w:hAnsi="Arial" w:cs="Arial"/>
          <w:color w:val="64777E"/>
          <w:sz w:val="18"/>
          <w:szCs w:val="18"/>
        </w:rPr>
      </w:pPr>
      <w:r w:rsidRPr="00003A68">
        <w:rPr>
          <w:rStyle w:val="normaltextrun"/>
          <w:rFonts w:ascii="Arial" w:eastAsiaTheme="majorEastAsia" w:hAnsi="Arial" w:cs="Arial"/>
          <w:color w:val="64777E"/>
          <w:sz w:val="18"/>
          <w:szCs w:val="18"/>
        </w:rPr>
        <w:t>The manager is highly risk-aware and employs an internally developed risk framework known as 'MATAR' (Maximum Adverse Total Annual Return). This framework guides asset allocation decisions and provides a disciplined approach during stressed market conditions and shifting correlations. The model encourages the portfolio to embrace greater risk when credit spreads and interest rates are high, while discouraging risk-taking when either is low.</w:t>
      </w:r>
    </w:p>
    <w:p w14:paraId="247B6A78" w14:textId="77777777" w:rsidR="00200057" w:rsidRPr="00200057" w:rsidRDefault="00200057" w:rsidP="00200057">
      <w:pPr>
        <w:pStyle w:val="paragraph"/>
        <w:shd w:val="clear" w:color="auto" w:fill="FFFFFF"/>
        <w:spacing w:before="0" w:beforeAutospacing="0" w:after="0" w:afterAutospacing="0"/>
        <w:jc w:val="both"/>
        <w:textAlignment w:val="baseline"/>
        <w:rPr>
          <w:rStyle w:val="normaltextrun"/>
          <w:rFonts w:ascii="Arial" w:eastAsia="Calibri" w:hAnsi="Arial" w:cs="Arial"/>
          <w:color w:val="76C204"/>
          <w:sz w:val="22"/>
          <w:szCs w:val="22"/>
        </w:rPr>
      </w:pPr>
    </w:p>
    <w:p w14:paraId="5DB1A07C" w14:textId="64B9E30B" w:rsidR="00200057" w:rsidRDefault="00003A68" w:rsidP="00003A68">
      <w:pPr>
        <w:pStyle w:val="paragraph"/>
        <w:shd w:val="clear" w:color="auto" w:fill="FFFFFF"/>
        <w:spacing w:before="0" w:beforeAutospacing="0" w:after="0" w:afterAutospacing="0"/>
        <w:jc w:val="both"/>
        <w:textAlignment w:val="baseline"/>
        <w:rPr>
          <w:rStyle w:val="normaltextrun"/>
          <w:rFonts w:ascii="Arial" w:eastAsiaTheme="majorEastAsia" w:hAnsi="Arial" w:cs="Arial"/>
          <w:color w:val="64777E"/>
          <w:sz w:val="18"/>
          <w:szCs w:val="18"/>
        </w:rPr>
      </w:pPr>
      <w:r w:rsidRPr="00003A68">
        <w:rPr>
          <w:rStyle w:val="normaltextrun"/>
          <w:rFonts w:ascii="Arial" w:eastAsiaTheme="majorEastAsia" w:hAnsi="Arial" w:cs="Arial"/>
          <w:color w:val="64777E"/>
          <w:sz w:val="18"/>
          <w:szCs w:val="18"/>
        </w:rPr>
        <w:t>A key focus of the assessment is to mitigate left-tail risk, which is particularly crucial for credit managers. Recognizing well-rewarded risks is essential, especially when traditional volatility metrics may underestimate potential tail risks. This proactive risk management approach helps ensure that the portfolio is better positioned to navigate adverse market scenarios.</w:t>
      </w:r>
      <w:r w:rsidR="00200057">
        <w:rPr>
          <w:rStyle w:val="normaltextrun"/>
          <w:rFonts w:ascii="Arial" w:eastAsiaTheme="majorEastAsia" w:hAnsi="Arial" w:cs="Arial"/>
          <w:color w:val="64777E"/>
          <w:sz w:val="18"/>
          <w:szCs w:val="18"/>
        </w:rPr>
        <w:t xml:space="preserve"> An example of this in action is through the COVID </w:t>
      </w:r>
      <w:r w:rsidR="007D07A7">
        <w:rPr>
          <w:rStyle w:val="normaltextrun"/>
          <w:rFonts w:ascii="Arial" w:eastAsiaTheme="majorEastAsia" w:hAnsi="Arial" w:cs="Arial"/>
          <w:color w:val="64777E"/>
          <w:sz w:val="18"/>
          <w:szCs w:val="18"/>
        </w:rPr>
        <w:t xml:space="preserve">drawdowns the diversified credit fund only drew down 6% showing a much higher downside protection than peers. </w:t>
      </w:r>
    </w:p>
    <w:p w14:paraId="60E07174" w14:textId="77777777" w:rsidR="00200057" w:rsidRDefault="00200057" w:rsidP="00004BC9">
      <w:pPr>
        <w:pStyle w:val="paragraph"/>
        <w:shd w:val="clear" w:color="auto" w:fill="FFFFFF"/>
        <w:spacing w:before="0" w:beforeAutospacing="0" w:after="0" w:afterAutospacing="0"/>
        <w:jc w:val="both"/>
        <w:textAlignment w:val="baseline"/>
        <w:rPr>
          <w:rStyle w:val="normaltextrun"/>
          <w:rFonts w:ascii="Arial" w:eastAsiaTheme="majorEastAsia" w:hAnsi="Arial" w:cs="Arial"/>
          <w:color w:val="64777E"/>
          <w:sz w:val="18"/>
          <w:szCs w:val="18"/>
        </w:rPr>
      </w:pPr>
    </w:p>
    <w:p w14:paraId="4A5DA8DF" w14:textId="2DB05603" w:rsidR="00004BC9" w:rsidRDefault="00004BC9" w:rsidP="00004BC9">
      <w:pPr>
        <w:pStyle w:val="paragraph"/>
        <w:shd w:val="clear" w:color="auto" w:fill="FFFFFF"/>
        <w:spacing w:before="0" w:beforeAutospacing="0" w:after="0" w:afterAutospacing="0"/>
        <w:jc w:val="both"/>
        <w:textAlignment w:val="baseline"/>
        <w:rPr>
          <w:rStyle w:val="normaltextrun"/>
          <w:rFonts w:ascii="Arial" w:eastAsiaTheme="majorEastAsia" w:hAnsi="Arial" w:cs="Arial"/>
          <w:color w:val="64777E"/>
          <w:sz w:val="18"/>
          <w:szCs w:val="18"/>
        </w:rPr>
      </w:pPr>
      <w:r>
        <w:rPr>
          <w:rStyle w:val="normaltextrun"/>
          <w:rFonts w:ascii="Arial" w:eastAsiaTheme="majorEastAsia" w:hAnsi="Arial" w:cs="Arial"/>
          <w:color w:val="64777E"/>
          <w:sz w:val="18"/>
          <w:szCs w:val="18"/>
        </w:rPr>
        <w:t>All FX exposure is hedged.</w:t>
      </w:r>
    </w:p>
    <w:p w14:paraId="3B5CE515" w14:textId="77777777" w:rsidR="00004BC9" w:rsidRDefault="00004BC9" w:rsidP="00004BC9">
      <w:pPr>
        <w:pStyle w:val="paragraph"/>
        <w:shd w:val="clear" w:color="auto" w:fill="FFFFFF"/>
        <w:spacing w:before="0" w:beforeAutospacing="0" w:after="0" w:afterAutospacing="0"/>
        <w:jc w:val="both"/>
        <w:textAlignment w:val="baseline"/>
        <w:rPr>
          <w:rStyle w:val="normaltextrun"/>
          <w:rFonts w:ascii="Arial" w:eastAsiaTheme="majorEastAsia" w:hAnsi="Arial" w:cs="Arial"/>
          <w:color w:val="64777E"/>
          <w:sz w:val="18"/>
          <w:szCs w:val="18"/>
        </w:rPr>
      </w:pPr>
    </w:p>
    <w:p w14:paraId="75CD1F4E" w14:textId="77777777" w:rsidR="00004BC9" w:rsidRDefault="00004BC9" w:rsidP="00004BC9">
      <w:pPr>
        <w:pBdr>
          <w:top w:val="nil"/>
          <w:left w:val="nil"/>
          <w:bottom w:val="nil"/>
          <w:right w:val="nil"/>
          <w:between w:val="nil"/>
        </w:pBdr>
        <w:spacing w:after="0" w:line="276" w:lineRule="auto"/>
        <w:jc w:val="both"/>
        <w:rPr>
          <w:rFonts w:ascii="Arial" w:eastAsia="Calibri" w:hAnsi="Arial" w:cs="Times New Roman"/>
          <w:color w:val="76C204"/>
          <w:kern w:val="0"/>
          <w:sz w:val="28"/>
          <w:szCs w:val="28"/>
          <w14:ligatures w14:val="none"/>
        </w:rPr>
      </w:pPr>
      <w:r w:rsidRPr="003F7188">
        <w:rPr>
          <w:rFonts w:ascii="Arial" w:eastAsia="Calibri" w:hAnsi="Arial" w:cs="Times New Roman"/>
          <w:color w:val="76C204"/>
          <w:kern w:val="0"/>
          <w:sz w:val="28"/>
          <w:szCs w:val="28"/>
          <w14:ligatures w14:val="none"/>
        </w:rPr>
        <w:t>PORTFOLIO CHARACTERISTICS</w:t>
      </w:r>
    </w:p>
    <w:p w14:paraId="5936FAE1" w14:textId="77777777" w:rsidR="00004BC9" w:rsidRPr="003F7188" w:rsidRDefault="00004BC9" w:rsidP="00004BC9">
      <w:pPr>
        <w:pBdr>
          <w:top w:val="nil"/>
          <w:left w:val="nil"/>
          <w:bottom w:val="nil"/>
          <w:right w:val="nil"/>
          <w:between w:val="nil"/>
        </w:pBdr>
        <w:spacing w:after="0" w:line="276" w:lineRule="auto"/>
        <w:jc w:val="both"/>
        <w:rPr>
          <w:rFonts w:ascii="Arial" w:eastAsia="Calibri" w:hAnsi="Arial" w:cs="Times New Roman"/>
          <w:color w:val="76C204"/>
          <w:kern w:val="0"/>
          <w:sz w:val="16"/>
          <w:szCs w:val="16"/>
          <w14:ligatures w14:val="none"/>
        </w:rPr>
      </w:pPr>
    </w:p>
    <w:p w14:paraId="65B5B3BB" w14:textId="77777777" w:rsidR="00FE1EB7" w:rsidRDefault="00004BC9" w:rsidP="00FE1EB7">
      <w:pPr>
        <w:pBdr>
          <w:top w:val="nil"/>
          <w:left w:val="nil"/>
          <w:bottom w:val="nil"/>
          <w:right w:val="nil"/>
          <w:between w:val="nil"/>
        </w:pBdr>
        <w:spacing w:after="0" w:line="276" w:lineRule="auto"/>
        <w:jc w:val="both"/>
        <w:rPr>
          <w:rFonts w:ascii="Arial" w:eastAsia="Calibri" w:hAnsi="Arial" w:cs="Times New Roman"/>
          <w:color w:val="76C204"/>
          <w:kern w:val="0"/>
          <w:sz w:val="22"/>
          <w:szCs w:val="22"/>
          <w14:ligatures w14:val="none"/>
        </w:rPr>
      </w:pPr>
      <w:r w:rsidRPr="003F7188">
        <w:rPr>
          <w:rFonts w:ascii="Arial" w:eastAsia="Calibri" w:hAnsi="Arial" w:cs="Times New Roman"/>
          <w:color w:val="76C204"/>
          <w:kern w:val="0"/>
          <w:sz w:val="22"/>
          <w:szCs w:val="22"/>
          <w14:ligatures w14:val="none"/>
        </w:rPr>
        <w:t xml:space="preserve">Portfolio Turnover </w:t>
      </w:r>
    </w:p>
    <w:p w14:paraId="66BEEB0E" w14:textId="2F37511F" w:rsidR="00004BC9" w:rsidRDefault="00FE1EB7" w:rsidP="00FE1EB7">
      <w:pPr>
        <w:pBdr>
          <w:top w:val="nil"/>
          <w:left w:val="nil"/>
          <w:bottom w:val="nil"/>
          <w:right w:val="nil"/>
          <w:between w:val="nil"/>
        </w:pBdr>
        <w:spacing w:after="0" w:line="276" w:lineRule="auto"/>
        <w:jc w:val="both"/>
        <w:rPr>
          <w:rFonts w:ascii="Arial" w:eastAsiaTheme="majorEastAsia" w:hAnsi="Arial" w:cs="Arial"/>
          <w:color w:val="64777E"/>
          <w:kern w:val="0"/>
          <w:sz w:val="18"/>
          <w:szCs w:val="18"/>
          <w:lang w:eastAsia="en-AU"/>
          <w14:ligatures w14:val="none"/>
        </w:rPr>
      </w:pPr>
      <w:r w:rsidRPr="00FE1EB7">
        <w:rPr>
          <w:rFonts w:ascii="Arial" w:eastAsiaTheme="majorEastAsia" w:hAnsi="Arial" w:cs="Arial"/>
          <w:color w:val="64777E"/>
          <w:kern w:val="0"/>
          <w:sz w:val="18"/>
          <w:szCs w:val="18"/>
          <w:lang w:eastAsia="en-AU"/>
          <w14:ligatures w14:val="none"/>
        </w:rPr>
        <w:t>In fluctuating markets, the manager adopts a high turnover strategy, actively adjusting the portfolio. Conversely, in stable markets, a low turnover approach is utili</w:t>
      </w:r>
      <w:r>
        <w:rPr>
          <w:rFonts w:ascii="Arial" w:eastAsiaTheme="majorEastAsia" w:hAnsi="Arial" w:cs="Arial"/>
          <w:color w:val="64777E"/>
          <w:kern w:val="0"/>
          <w:sz w:val="18"/>
          <w:szCs w:val="18"/>
          <w:lang w:eastAsia="en-AU"/>
          <w14:ligatures w14:val="none"/>
        </w:rPr>
        <w:t>s</w:t>
      </w:r>
      <w:r w:rsidRPr="00FE1EB7">
        <w:rPr>
          <w:rFonts w:ascii="Arial" w:eastAsiaTheme="majorEastAsia" w:hAnsi="Arial" w:cs="Arial"/>
          <w:color w:val="64777E"/>
          <w:kern w:val="0"/>
          <w:sz w:val="18"/>
          <w:szCs w:val="18"/>
          <w:lang w:eastAsia="en-AU"/>
          <w14:ligatures w14:val="none"/>
        </w:rPr>
        <w:t>ed, maintaining positions with less frequent trading.</w:t>
      </w:r>
      <w:r>
        <w:rPr>
          <w:rFonts w:ascii="Arial" w:eastAsiaTheme="majorEastAsia" w:hAnsi="Arial" w:cs="Arial"/>
          <w:color w:val="64777E"/>
          <w:kern w:val="0"/>
          <w:sz w:val="18"/>
          <w:szCs w:val="18"/>
          <w:lang w:eastAsia="en-AU"/>
          <w14:ligatures w14:val="none"/>
        </w:rPr>
        <w:t xml:space="preserve"> This approach is seen as dynamic and appropriate. </w:t>
      </w:r>
    </w:p>
    <w:p w14:paraId="1A974CF4" w14:textId="77777777" w:rsidR="00FE1EB7" w:rsidRPr="00FE1EB7" w:rsidRDefault="00FE1EB7" w:rsidP="00FE1EB7">
      <w:pPr>
        <w:pBdr>
          <w:top w:val="nil"/>
          <w:left w:val="nil"/>
          <w:bottom w:val="nil"/>
          <w:right w:val="nil"/>
          <w:between w:val="nil"/>
        </w:pBdr>
        <w:spacing w:after="0" w:line="276" w:lineRule="auto"/>
        <w:jc w:val="both"/>
        <w:rPr>
          <w:rFonts w:ascii="Arial" w:eastAsia="Calibri" w:hAnsi="Arial" w:cs="Times New Roman"/>
          <w:color w:val="76C204"/>
          <w:kern w:val="0"/>
          <w:sz w:val="22"/>
          <w:szCs w:val="22"/>
          <w14:ligatures w14:val="none"/>
        </w:rPr>
      </w:pPr>
    </w:p>
    <w:p w14:paraId="454C6ABA" w14:textId="77777777" w:rsidR="00004BC9" w:rsidRPr="003F7188" w:rsidRDefault="00004BC9" w:rsidP="00004BC9">
      <w:pPr>
        <w:pBdr>
          <w:top w:val="nil"/>
          <w:left w:val="nil"/>
          <w:bottom w:val="nil"/>
          <w:right w:val="nil"/>
          <w:between w:val="nil"/>
        </w:pBdr>
        <w:spacing w:after="0" w:line="240" w:lineRule="auto"/>
        <w:rPr>
          <w:rFonts w:ascii="Arial" w:eastAsia="Calibri" w:hAnsi="Arial" w:cs="Times New Roman"/>
          <w:color w:val="76C204"/>
          <w:kern w:val="0"/>
          <w:sz w:val="22"/>
          <w:szCs w:val="22"/>
          <w14:ligatures w14:val="none"/>
        </w:rPr>
      </w:pPr>
      <w:r w:rsidRPr="003F7188">
        <w:rPr>
          <w:rFonts w:ascii="Arial" w:eastAsia="Calibri" w:hAnsi="Arial" w:cs="Times New Roman"/>
          <w:color w:val="76C204"/>
          <w:kern w:val="0"/>
          <w:sz w:val="22"/>
          <w:szCs w:val="22"/>
          <w14:ligatures w14:val="none"/>
        </w:rPr>
        <w:t>Liquidity</w:t>
      </w:r>
    </w:p>
    <w:p w14:paraId="1FA737F7" w14:textId="50065D3D" w:rsidR="00004BC9" w:rsidRDefault="003843DF" w:rsidP="00004BC9">
      <w:pPr>
        <w:pBdr>
          <w:top w:val="nil"/>
          <w:left w:val="nil"/>
          <w:bottom w:val="nil"/>
          <w:right w:val="nil"/>
          <w:between w:val="nil"/>
        </w:pBdr>
        <w:spacing w:after="0" w:line="240" w:lineRule="auto"/>
        <w:rPr>
          <w:rFonts w:ascii="Arial" w:eastAsiaTheme="majorEastAsia" w:hAnsi="Arial" w:cs="Arial"/>
          <w:color w:val="64777E"/>
          <w:kern w:val="0"/>
          <w:sz w:val="18"/>
          <w:szCs w:val="18"/>
          <w:lang w:eastAsia="en-AU"/>
          <w14:ligatures w14:val="none"/>
        </w:rPr>
      </w:pPr>
      <w:r>
        <w:rPr>
          <w:rFonts w:ascii="Arial" w:eastAsiaTheme="majorEastAsia" w:hAnsi="Arial" w:cs="Arial"/>
          <w:color w:val="64777E"/>
          <w:kern w:val="0"/>
          <w:sz w:val="18"/>
          <w:szCs w:val="18"/>
          <w:lang w:eastAsia="en-AU"/>
          <w14:ligatures w14:val="none"/>
        </w:rPr>
        <w:t xml:space="preserve">The portfolio provides monthly distributions and daily liquidity. </w:t>
      </w:r>
    </w:p>
    <w:p w14:paraId="66B00366" w14:textId="77777777" w:rsidR="00004BC9" w:rsidRPr="003F7188" w:rsidRDefault="00004BC9" w:rsidP="00004BC9">
      <w:pPr>
        <w:pBdr>
          <w:top w:val="nil"/>
          <w:left w:val="nil"/>
          <w:bottom w:val="nil"/>
          <w:right w:val="nil"/>
          <w:between w:val="nil"/>
        </w:pBdr>
        <w:spacing w:after="0" w:line="240" w:lineRule="auto"/>
        <w:rPr>
          <w:rFonts w:ascii="Arial" w:eastAsia="Calibri" w:hAnsi="Arial" w:cs="Times New Roman"/>
          <w:color w:val="76C204"/>
          <w:kern w:val="0"/>
          <w:sz w:val="28"/>
          <w:szCs w:val="28"/>
          <w14:ligatures w14:val="none"/>
        </w:rPr>
      </w:pPr>
    </w:p>
    <w:p w14:paraId="097F3B52" w14:textId="77777777" w:rsidR="00004BC9" w:rsidRPr="003F7188" w:rsidRDefault="00004BC9" w:rsidP="00004BC9">
      <w:pPr>
        <w:pBdr>
          <w:top w:val="nil"/>
          <w:left w:val="nil"/>
          <w:bottom w:val="nil"/>
          <w:right w:val="nil"/>
          <w:between w:val="nil"/>
        </w:pBdr>
        <w:spacing w:after="0" w:line="240" w:lineRule="auto"/>
        <w:rPr>
          <w:rFonts w:ascii="Arial" w:eastAsia="Calibri" w:hAnsi="Arial" w:cs="Times New Roman"/>
          <w:color w:val="76C204"/>
          <w:kern w:val="0"/>
          <w:sz w:val="22"/>
          <w:szCs w:val="22"/>
          <w14:ligatures w14:val="none"/>
        </w:rPr>
      </w:pPr>
      <w:r w:rsidRPr="003F7188">
        <w:rPr>
          <w:rFonts w:ascii="Arial" w:eastAsia="Calibri" w:hAnsi="Arial" w:cs="Times New Roman"/>
          <w:color w:val="76C204"/>
          <w:kern w:val="0"/>
          <w:sz w:val="22"/>
          <w:szCs w:val="22"/>
          <w14:ligatures w14:val="none"/>
        </w:rPr>
        <w:t>Leverage</w:t>
      </w:r>
    </w:p>
    <w:p w14:paraId="71137567" w14:textId="0BA405B9" w:rsidR="00004BC9" w:rsidRDefault="00004BC9" w:rsidP="00004BC9">
      <w:pPr>
        <w:spacing w:after="0" w:line="240" w:lineRule="auto"/>
        <w:rPr>
          <w:rFonts w:ascii="Arial" w:eastAsia="Arial" w:hAnsi="Arial" w:cs="Century Gothic Pro"/>
          <w:color w:val="64777E"/>
          <w:kern w:val="0"/>
          <w:sz w:val="18"/>
          <w:szCs w:val="18"/>
          <w14:ligatures w14:val="none"/>
        </w:rPr>
      </w:pPr>
      <w:r>
        <w:rPr>
          <w:rFonts w:ascii="Arial" w:eastAsia="Arial" w:hAnsi="Arial" w:cs="Century Gothic Pro"/>
          <w:color w:val="64777E"/>
          <w:kern w:val="0"/>
          <w:sz w:val="18"/>
          <w:szCs w:val="18"/>
          <w14:ligatures w14:val="none"/>
        </w:rPr>
        <w:t xml:space="preserve">The Manager </w:t>
      </w:r>
      <w:r w:rsidR="000D0AAE">
        <w:rPr>
          <w:rFonts w:ascii="Arial" w:eastAsia="Arial" w:hAnsi="Arial" w:cs="Century Gothic Pro"/>
          <w:color w:val="64777E"/>
          <w:kern w:val="0"/>
          <w:sz w:val="18"/>
          <w:szCs w:val="18"/>
          <w14:ligatures w14:val="none"/>
        </w:rPr>
        <w:t xml:space="preserve">may employ leverage through </w:t>
      </w:r>
      <w:r w:rsidR="00882CD9">
        <w:rPr>
          <w:rFonts w:ascii="Arial" w:eastAsia="Arial" w:hAnsi="Arial" w:cs="Century Gothic Pro"/>
          <w:color w:val="64777E"/>
          <w:kern w:val="0"/>
          <w:sz w:val="18"/>
          <w:szCs w:val="18"/>
          <w14:ligatures w14:val="none"/>
        </w:rPr>
        <w:t>derivatives;</w:t>
      </w:r>
      <w:r w:rsidR="000D0AAE">
        <w:rPr>
          <w:rFonts w:ascii="Arial" w:eastAsia="Arial" w:hAnsi="Arial" w:cs="Century Gothic Pro"/>
          <w:color w:val="64777E"/>
          <w:kern w:val="0"/>
          <w:sz w:val="18"/>
          <w:szCs w:val="18"/>
          <w14:ligatures w14:val="none"/>
        </w:rPr>
        <w:t xml:space="preserve"> however, this is kept </w:t>
      </w:r>
      <w:r w:rsidR="003843DF">
        <w:rPr>
          <w:rFonts w:ascii="Arial" w:eastAsia="Arial" w:hAnsi="Arial" w:cs="Century Gothic Pro"/>
          <w:color w:val="64777E"/>
          <w:kern w:val="0"/>
          <w:sz w:val="18"/>
          <w:szCs w:val="18"/>
          <w14:ligatures w14:val="none"/>
        </w:rPr>
        <w:t xml:space="preserve">at a low level. </w:t>
      </w:r>
      <w:r>
        <w:rPr>
          <w:rFonts w:ascii="Arial" w:eastAsia="Arial" w:hAnsi="Arial" w:cs="Century Gothic Pro"/>
          <w:color w:val="64777E"/>
          <w:kern w:val="0"/>
          <w:sz w:val="18"/>
          <w:szCs w:val="18"/>
          <w14:ligatures w14:val="none"/>
        </w:rPr>
        <w:t xml:space="preserve"> </w:t>
      </w:r>
    </w:p>
    <w:p w14:paraId="128BEE9A" w14:textId="77777777" w:rsidR="00004BC9" w:rsidRPr="003F7188" w:rsidRDefault="00004BC9" w:rsidP="00004BC9">
      <w:pPr>
        <w:spacing w:after="0" w:line="240" w:lineRule="auto"/>
        <w:rPr>
          <w:rFonts w:ascii="Arial" w:eastAsia="Arial" w:hAnsi="Arial" w:cs="Century Gothic Pro"/>
          <w:color w:val="64777E"/>
          <w:kern w:val="0"/>
          <w:sz w:val="18"/>
          <w:szCs w:val="18"/>
          <w14:ligatures w14:val="none"/>
        </w:rPr>
      </w:pPr>
    </w:p>
    <w:p w14:paraId="6E741E76" w14:textId="77777777" w:rsidR="00882CD9" w:rsidRDefault="00882CD9" w:rsidP="00004BC9">
      <w:pPr>
        <w:pBdr>
          <w:top w:val="nil"/>
          <w:left w:val="nil"/>
          <w:bottom w:val="nil"/>
          <w:right w:val="nil"/>
          <w:between w:val="nil"/>
        </w:pBdr>
        <w:spacing w:after="0" w:line="240" w:lineRule="auto"/>
        <w:rPr>
          <w:rFonts w:ascii="Arial" w:eastAsia="Calibri" w:hAnsi="Arial" w:cs="Times New Roman"/>
          <w:color w:val="76C204"/>
          <w:kern w:val="0"/>
          <w:sz w:val="28"/>
          <w:szCs w:val="28"/>
          <w14:ligatures w14:val="none"/>
        </w:rPr>
      </w:pPr>
    </w:p>
    <w:p w14:paraId="557B6826" w14:textId="77777777" w:rsidR="00882CD9" w:rsidRDefault="00882CD9" w:rsidP="00004BC9">
      <w:pPr>
        <w:pBdr>
          <w:top w:val="nil"/>
          <w:left w:val="nil"/>
          <w:bottom w:val="nil"/>
          <w:right w:val="nil"/>
          <w:between w:val="nil"/>
        </w:pBdr>
        <w:spacing w:after="0" w:line="240" w:lineRule="auto"/>
        <w:rPr>
          <w:rFonts w:ascii="Arial" w:eastAsia="Calibri" w:hAnsi="Arial" w:cs="Times New Roman"/>
          <w:color w:val="76C204"/>
          <w:kern w:val="0"/>
          <w:sz w:val="28"/>
          <w:szCs w:val="28"/>
          <w14:ligatures w14:val="none"/>
        </w:rPr>
      </w:pPr>
    </w:p>
    <w:p w14:paraId="04A0A210" w14:textId="77777777" w:rsidR="00882CD9" w:rsidRDefault="00882CD9" w:rsidP="00004BC9">
      <w:pPr>
        <w:pBdr>
          <w:top w:val="nil"/>
          <w:left w:val="nil"/>
          <w:bottom w:val="nil"/>
          <w:right w:val="nil"/>
          <w:between w:val="nil"/>
        </w:pBdr>
        <w:spacing w:after="0" w:line="240" w:lineRule="auto"/>
        <w:rPr>
          <w:rFonts w:ascii="Arial" w:eastAsia="Calibri" w:hAnsi="Arial" w:cs="Times New Roman"/>
          <w:color w:val="76C204"/>
          <w:kern w:val="0"/>
          <w:sz w:val="28"/>
          <w:szCs w:val="28"/>
          <w14:ligatures w14:val="none"/>
        </w:rPr>
      </w:pPr>
    </w:p>
    <w:p w14:paraId="46679F85" w14:textId="77777777" w:rsidR="00882CD9" w:rsidRDefault="00882CD9" w:rsidP="00004BC9">
      <w:pPr>
        <w:pBdr>
          <w:top w:val="nil"/>
          <w:left w:val="nil"/>
          <w:bottom w:val="nil"/>
          <w:right w:val="nil"/>
          <w:between w:val="nil"/>
        </w:pBdr>
        <w:spacing w:after="0" w:line="240" w:lineRule="auto"/>
        <w:rPr>
          <w:rFonts w:ascii="Arial" w:eastAsia="Calibri" w:hAnsi="Arial" w:cs="Times New Roman"/>
          <w:color w:val="76C204"/>
          <w:kern w:val="0"/>
          <w:sz w:val="28"/>
          <w:szCs w:val="28"/>
          <w14:ligatures w14:val="none"/>
        </w:rPr>
      </w:pPr>
    </w:p>
    <w:p w14:paraId="3A81A530" w14:textId="77777777" w:rsidR="00882CD9" w:rsidRDefault="00882CD9" w:rsidP="00004BC9">
      <w:pPr>
        <w:pBdr>
          <w:top w:val="nil"/>
          <w:left w:val="nil"/>
          <w:bottom w:val="nil"/>
          <w:right w:val="nil"/>
          <w:between w:val="nil"/>
        </w:pBdr>
        <w:spacing w:after="0" w:line="240" w:lineRule="auto"/>
        <w:rPr>
          <w:rFonts w:ascii="Arial" w:eastAsia="Calibri" w:hAnsi="Arial" w:cs="Times New Roman"/>
          <w:color w:val="76C204"/>
          <w:kern w:val="0"/>
          <w:sz w:val="28"/>
          <w:szCs w:val="28"/>
          <w14:ligatures w14:val="none"/>
        </w:rPr>
      </w:pPr>
    </w:p>
    <w:p w14:paraId="2E0CF0EA" w14:textId="77777777" w:rsidR="00882CD9" w:rsidRDefault="00882CD9" w:rsidP="00004BC9">
      <w:pPr>
        <w:pBdr>
          <w:top w:val="nil"/>
          <w:left w:val="nil"/>
          <w:bottom w:val="nil"/>
          <w:right w:val="nil"/>
          <w:between w:val="nil"/>
        </w:pBdr>
        <w:spacing w:after="0" w:line="240" w:lineRule="auto"/>
        <w:rPr>
          <w:rFonts w:ascii="Arial" w:eastAsia="Calibri" w:hAnsi="Arial" w:cs="Times New Roman"/>
          <w:color w:val="76C204"/>
          <w:kern w:val="0"/>
          <w:sz w:val="28"/>
          <w:szCs w:val="28"/>
          <w14:ligatures w14:val="none"/>
        </w:rPr>
      </w:pPr>
    </w:p>
    <w:p w14:paraId="5948BAF1" w14:textId="77777777" w:rsidR="00882CD9" w:rsidRDefault="00882CD9" w:rsidP="00004BC9">
      <w:pPr>
        <w:pBdr>
          <w:top w:val="nil"/>
          <w:left w:val="nil"/>
          <w:bottom w:val="nil"/>
          <w:right w:val="nil"/>
          <w:between w:val="nil"/>
        </w:pBdr>
        <w:spacing w:after="0" w:line="240" w:lineRule="auto"/>
        <w:rPr>
          <w:rFonts w:ascii="Arial" w:eastAsia="Calibri" w:hAnsi="Arial" w:cs="Times New Roman"/>
          <w:color w:val="76C204"/>
          <w:kern w:val="0"/>
          <w:sz w:val="28"/>
          <w:szCs w:val="28"/>
          <w14:ligatures w14:val="none"/>
        </w:rPr>
      </w:pPr>
    </w:p>
    <w:p w14:paraId="514F1AC2" w14:textId="77777777" w:rsidR="00882CD9" w:rsidRDefault="00882CD9" w:rsidP="00004BC9">
      <w:pPr>
        <w:pBdr>
          <w:top w:val="nil"/>
          <w:left w:val="nil"/>
          <w:bottom w:val="nil"/>
          <w:right w:val="nil"/>
          <w:between w:val="nil"/>
        </w:pBdr>
        <w:spacing w:after="0" w:line="240" w:lineRule="auto"/>
        <w:rPr>
          <w:rFonts w:ascii="Arial" w:eastAsia="Calibri" w:hAnsi="Arial" w:cs="Times New Roman"/>
          <w:color w:val="76C204"/>
          <w:kern w:val="0"/>
          <w:sz w:val="28"/>
          <w:szCs w:val="28"/>
          <w14:ligatures w14:val="none"/>
        </w:rPr>
      </w:pPr>
    </w:p>
    <w:p w14:paraId="58273E63" w14:textId="77777777" w:rsidR="00882CD9" w:rsidRDefault="00882CD9" w:rsidP="00004BC9">
      <w:pPr>
        <w:pBdr>
          <w:top w:val="nil"/>
          <w:left w:val="nil"/>
          <w:bottom w:val="nil"/>
          <w:right w:val="nil"/>
          <w:between w:val="nil"/>
        </w:pBdr>
        <w:spacing w:after="0" w:line="240" w:lineRule="auto"/>
        <w:rPr>
          <w:rFonts w:ascii="Arial" w:eastAsia="Calibri" w:hAnsi="Arial" w:cs="Times New Roman"/>
          <w:color w:val="76C204"/>
          <w:kern w:val="0"/>
          <w:sz w:val="28"/>
          <w:szCs w:val="28"/>
          <w14:ligatures w14:val="none"/>
        </w:rPr>
      </w:pPr>
    </w:p>
    <w:p w14:paraId="0298E833" w14:textId="77777777" w:rsidR="00882CD9" w:rsidRDefault="00882CD9" w:rsidP="00004BC9">
      <w:pPr>
        <w:pBdr>
          <w:top w:val="nil"/>
          <w:left w:val="nil"/>
          <w:bottom w:val="nil"/>
          <w:right w:val="nil"/>
          <w:between w:val="nil"/>
        </w:pBdr>
        <w:spacing w:after="0" w:line="240" w:lineRule="auto"/>
        <w:rPr>
          <w:rFonts w:ascii="Arial" w:eastAsia="Calibri" w:hAnsi="Arial" w:cs="Times New Roman"/>
          <w:color w:val="76C204"/>
          <w:kern w:val="0"/>
          <w:sz w:val="28"/>
          <w:szCs w:val="28"/>
          <w14:ligatures w14:val="none"/>
        </w:rPr>
      </w:pPr>
    </w:p>
    <w:p w14:paraId="7D5286F7" w14:textId="77777777" w:rsidR="00882CD9" w:rsidRDefault="00882CD9" w:rsidP="00004BC9">
      <w:pPr>
        <w:pBdr>
          <w:top w:val="nil"/>
          <w:left w:val="nil"/>
          <w:bottom w:val="nil"/>
          <w:right w:val="nil"/>
          <w:between w:val="nil"/>
        </w:pBdr>
        <w:spacing w:after="0" w:line="240" w:lineRule="auto"/>
        <w:rPr>
          <w:rFonts w:ascii="Arial" w:eastAsia="Calibri" w:hAnsi="Arial" w:cs="Times New Roman"/>
          <w:color w:val="76C204"/>
          <w:kern w:val="0"/>
          <w:sz w:val="28"/>
          <w:szCs w:val="28"/>
          <w14:ligatures w14:val="none"/>
        </w:rPr>
      </w:pPr>
    </w:p>
    <w:p w14:paraId="321FF6AF" w14:textId="77777777" w:rsidR="00882CD9" w:rsidRDefault="00882CD9" w:rsidP="00004BC9">
      <w:pPr>
        <w:pBdr>
          <w:top w:val="nil"/>
          <w:left w:val="nil"/>
          <w:bottom w:val="nil"/>
          <w:right w:val="nil"/>
          <w:between w:val="nil"/>
        </w:pBdr>
        <w:spacing w:after="0" w:line="240" w:lineRule="auto"/>
        <w:rPr>
          <w:rFonts w:ascii="Arial" w:eastAsia="Calibri" w:hAnsi="Arial" w:cs="Times New Roman"/>
          <w:color w:val="76C204"/>
          <w:kern w:val="0"/>
          <w:sz w:val="28"/>
          <w:szCs w:val="28"/>
          <w14:ligatures w14:val="none"/>
        </w:rPr>
      </w:pPr>
    </w:p>
    <w:p w14:paraId="402D7FD5" w14:textId="77777777" w:rsidR="00882CD9" w:rsidRDefault="00882CD9" w:rsidP="00004BC9">
      <w:pPr>
        <w:pBdr>
          <w:top w:val="nil"/>
          <w:left w:val="nil"/>
          <w:bottom w:val="nil"/>
          <w:right w:val="nil"/>
          <w:between w:val="nil"/>
        </w:pBdr>
        <w:spacing w:after="0" w:line="240" w:lineRule="auto"/>
        <w:rPr>
          <w:rFonts w:ascii="Arial" w:eastAsia="Calibri" w:hAnsi="Arial" w:cs="Times New Roman"/>
          <w:color w:val="76C204"/>
          <w:kern w:val="0"/>
          <w:sz w:val="28"/>
          <w:szCs w:val="28"/>
          <w14:ligatures w14:val="none"/>
        </w:rPr>
      </w:pPr>
    </w:p>
    <w:p w14:paraId="1D4D38EE" w14:textId="2F1CD2CC" w:rsidR="00004BC9" w:rsidRPr="003F7188" w:rsidRDefault="00004BC9" w:rsidP="00004BC9">
      <w:pPr>
        <w:pBdr>
          <w:top w:val="nil"/>
          <w:left w:val="nil"/>
          <w:bottom w:val="nil"/>
          <w:right w:val="nil"/>
          <w:between w:val="nil"/>
        </w:pBdr>
        <w:spacing w:after="0" w:line="240" w:lineRule="auto"/>
        <w:rPr>
          <w:rFonts w:ascii="Arial" w:eastAsia="Calibri" w:hAnsi="Arial" w:cs="Times New Roman"/>
          <w:color w:val="76C204"/>
          <w:kern w:val="0"/>
          <w:sz w:val="28"/>
          <w:szCs w:val="28"/>
          <w14:ligatures w14:val="none"/>
        </w:rPr>
      </w:pPr>
      <w:r w:rsidRPr="003F7188">
        <w:rPr>
          <w:rFonts w:ascii="Arial" w:eastAsia="Calibri" w:hAnsi="Arial" w:cs="Times New Roman"/>
          <w:color w:val="76C204"/>
          <w:kern w:val="0"/>
          <w:sz w:val="28"/>
          <w:szCs w:val="28"/>
          <w14:ligatures w14:val="none"/>
        </w:rPr>
        <w:lastRenderedPageBreak/>
        <w:t>PERFORMANCE</w:t>
      </w:r>
      <w:r w:rsidR="003E45F0">
        <w:rPr>
          <w:rFonts w:ascii="Arial" w:eastAsia="Calibri" w:hAnsi="Arial" w:cs="Times New Roman"/>
          <w:color w:val="76C204"/>
          <w:kern w:val="0"/>
          <w:sz w:val="28"/>
          <w:szCs w:val="28"/>
          <w14:ligatures w14:val="none"/>
        </w:rPr>
        <w:t xml:space="preserve"> – As at </w:t>
      </w:r>
      <w:r w:rsidR="009C0069">
        <w:rPr>
          <w:rFonts w:ascii="Arial" w:eastAsia="Calibri" w:hAnsi="Arial" w:cs="Times New Roman"/>
          <w:color w:val="76C204"/>
          <w:kern w:val="0"/>
          <w:sz w:val="28"/>
          <w:szCs w:val="28"/>
          <w14:ligatures w14:val="none"/>
        </w:rPr>
        <w:t>31/08/2024</w:t>
      </w:r>
    </w:p>
    <w:p w14:paraId="368DB1AB" w14:textId="77777777" w:rsidR="00004BC9" w:rsidRDefault="00004BC9" w:rsidP="00004BC9">
      <w:pPr>
        <w:pStyle w:val="paragraph"/>
        <w:shd w:val="clear" w:color="auto" w:fill="FFFFFF"/>
        <w:spacing w:before="0" w:beforeAutospacing="0" w:after="0" w:afterAutospacing="0"/>
        <w:jc w:val="both"/>
        <w:textAlignment w:val="baseline"/>
        <w:rPr>
          <w:rStyle w:val="normaltextrun"/>
          <w:rFonts w:ascii="Arial" w:eastAsiaTheme="majorEastAsia" w:hAnsi="Arial" w:cs="Arial"/>
          <w:color w:val="64777E"/>
          <w:sz w:val="18"/>
          <w:szCs w:val="18"/>
        </w:rPr>
      </w:pPr>
    </w:p>
    <w:p w14:paraId="74E5B13A" w14:textId="2C4FA72F" w:rsidR="00004BC9" w:rsidRDefault="00882CD9" w:rsidP="00004BC9">
      <w:pPr>
        <w:spacing w:after="120" w:line="276" w:lineRule="auto"/>
        <w:rPr>
          <w:rFonts w:ascii="Arial" w:eastAsia="Calibri" w:hAnsi="Arial" w:cs="Times New Roman (Body CS)"/>
          <w:color w:val="76C204"/>
          <w:kern w:val="0"/>
          <w:sz w:val="28"/>
          <w:szCs w:val="28"/>
          <w14:ligatures w14:val="none"/>
        </w:rPr>
      </w:pPr>
      <w:r w:rsidRPr="00882CD9">
        <w:rPr>
          <w:rFonts w:ascii="Arial" w:eastAsia="Calibri" w:hAnsi="Arial" w:cs="Times New Roman (Body CS)"/>
          <w:noProof/>
          <w:color w:val="76C204"/>
          <w:kern w:val="0"/>
          <w:sz w:val="28"/>
          <w:szCs w:val="28"/>
          <w14:ligatures w14:val="none"/>
        </w:rPr>
        <w:drawing>
          <wp:inline distT="0" distB="0" distL="0" distR="0" wp14:anchorId="06CD82CE" wp14:editId="627D44F5">
            <wp:extent cx="5731510" cy="1579245"/>
            <wp:effectExtent l="0" t="0" r="2540" b="1905"/>
            <wp:docPr id="164339511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395117" name="Picture 1" descr="A screenshot of a graph&#10;&#10;Description automatically generated"/>
                    <pic:cNvPicPr/>
                  </pic:nvPicPr>
                  <pic:blipFill>
                    <a:blip r:embed="rId15"/>
                    <a:stretch>
                      <a:fillRect/>
                    </a:stretch>
                  </pic:blipFill>
                  <pic:spPr>
                    <a:xfrm>
                      <a:off x="0" y="0"/>
                      <a:ext cx="5731510" cy="1579245"/>
                    </a:xfrm>
                    <a:prstGeom prst="rect">
                      <a:avLst/>
                    </a:prstGeom>
                  </pic:spPr>
                </pic:pic>
              </a:graphicData>
            </a:graphic>
          </wp:inline>
        </w:drawing>
      </w:r>
    </w:p>
    <w:p w14:paraId="2ACD028C" w14:textId="77777777" w:rsidR="00004BC9" w:rsidRPr="00027290" w:rsidRDefault="00004BC9" w:rsidP="00004BC9">
      <w:pPr>
        <w:rPr>
          <w:sz w:val="2"/>
          <w:szCs w:val="2"/>
        </w:rPr>
      </w:pPr>
    </w:p>
    <w:p w14:paraId="15E76DBC" w14:textId="77777777" w:rsidR="00004BC9" w:rsidRDefault="00004BC9" w:rsidP="00004BC9">
      <w:pPr>
        <w:spacing w:after="120" w:line="276" w:lineRule="auto"/>
        <w:rPr>
          <w:rFonts w:ascii="Arial" w:eastAsia="Calibri" w:hAnsi="Arial" w:cs="Times New Roman (Body CS)"/>
          <w:color w:val="76C204"/>
          <w:kern w:val="0"/>
          <w:sz w:val="28"/>
          <w:szCs w:val="28"/>
          <w14:ligatures w14:val="none"/>
        </w:rPr>
      </w:pPr>
      <w:r>
        <w:rPr>
          <w:rFonts w:ascii="Arial" w:eastAsia="Calibri" w:hAnsi="Arial" w:cs="Times New Roman (Body CS)"/>
          <w:color w:val="76C204"/>
          <w:kern w:val="0"/>
          <w:sz w:val="28"/>
          <w:szCs w:val="28"/>
          <w14:ligatures w14:val="none"/>
        </w:rPr>
        <w:t>Performance Opinion</w:t>
      </w:r>
    </w:p>
    <w:p w14:paraId="326D85E3" w14:textId="6AC27D59" w:rsidR="00004BC9" w:rsidRDefault="00004BC9" w:rsidP="00F5625E">
      <w:pPr>
        <w:spacing w:after="120" w:line="276" w:lineRule="auto"/>
        <w:rPr>
          <w:rFonts w:ascii="Arial" w:eastAsia="Arial" w:hAnsi="Arial" w:cs="Century Gothic Pro"/>
          <w:color w:val="64777E"/>
          <w:kern w:val="0"/>
          <w:sz w:val="18"/>
          <w:szCs w:val="18"/>
          <w14:ligatures w14:val="none"/>
        </w:rPr>
      </w:pPr>
      <w:r>
        <w:rPr>
          <w:rFonts w:ascii="Arial" w:eastAsia="Arial" w:hAnsi="Arial" w:cs="Century Gothic Pro"/>
          <w:color w:val="64777E"/>
          <w:kern w:val="0"/>
          <w:sz w:val="18"/>
          <w:szCs w:val="18"/>
          <w14:ligatures w14:val="none"/>
        </w:rPr>
        <w:t xml:space="preserve">The </w:t>
      </w:r>
      <w:r w:rsidR="003E45F0">
        <w:rPr>
          <w:rFonts w:ascii="Arial" w:eastAsia="Arial" w:hAnsi="Arial" w:cs="Century Gothic Pro"/>
          <w:color w:val="64777E"/>
          <w:kern w:val="0"/>
          <w:sz w:val="18"/>
          <w:szCs w:val="18"/>
          <w14:ligatures w14:val="none"/>
        </w:rPr>
        <w:t>Fund has failed to meet</w:t>
      </w:r>
      <w:r w:rsidR="009C0069">
        <w:rPr>
          <w:rFonts w:ascii="Arial" w:eastAsia="Arial" w:hAnsi="Arial" w:cs="Century Gothic Pro"/>
          <w:color w:val="64777E"/>
          <w:kern w:val="0"/>
          <w:sz w:val="18"/>
          <w:szCs w:val="18"/>
          <w14:ligatures w14:val="none"/>
        </w:rPr>
        <w:t xml:space="preserve"> its performance objective of 2% outperformance over rolling </w:t>
      </w:r>
      <w:r w:rsidR="001E0BAA">
        <w:rPr>
          <w:rFonts w:ascii="Arial" w:eastAsia="Arial" w:hAnsi="Arial" w:cs="Century Gothic Pro"/>
          <w:color w:val="64777E"/>
          <w:kern w:val="0"/>
          <w:sz w:val="18"/>
          <w:szCs w:val="18"/>
          <w14:ligatures w14:val="none"/>
        </w:rPr>
        <w:t>three-year</w:t>
      </w:r>
      <w:r w:rsidR="009C0069">
        <w:rPr>
          <w:rFonts w:ascii="Arial" w:eastAsia="Arial" w:hAnsi="Arial" w:cs="Century Gothic Pro"/>
          <w:color w:val="64777E"/>
          <w:kern w:val="0"/>
          <w:sz w:val="18"/>
          <w:szCs w:val="18"/>
          <w14:ligatures w14:val="none"/>
        </w:rPr>
        <w:t xml:space="preserve"> periods. </w:t>
      </w:r>
      <w:r w:rsidR="00547433">
        <w:rPr>
          <w:rFonts w:ascii="Arial" w:eastAsia="Arial" w:hAnsi="Arial" w:cs="Century Gothic Pro"/>
          <w:color w:val="64777E"/>
          <w:kern w:val="0"/>
          <w:sz w:val="18"/>
          <w:szCs w:val="18"/>
          <w14:ligatures w14:val="none"/>
        </w:rPr>
        <w:t xml:space="preserve">However, pleasingly performance outcomes have been positive and above the benchmark over all time periods. </w:t>
      </w:r>
      <w:r w:rsidR="001E0BAA">
        <w:rPr>
          <w:rFonts w:ascii="Arial" w:eastAsia="Arial" w:hAnsi="Arial" w:cs="Century Gothic Pro"/>
          <w:color w:val="64777E"/>
          <w:kern w:val="0"/>
          <w:sz w:val="18"/>
          <w:szCs w:val="18"/>
          <w14:ligatures w14:val="none"/>
        </w:rPr>
        <w:t xml:space="preserve">This has </w:t>
      </w:r>
      <w:r w:rsidR="00417EE7">
        <w:rPr>
          <w:rFonts w:ascii="Arial" w:eastAsia="Arial" w:hAnsi="Arial" w:cs="Century Gothic Pro"/>
          <w:color w:val="64777E"/>
          <w:kern w:val="0"/>
          <w:sz w:val="18"/>
          <w:szCs w:val="18"/>
          <w14:ligatures w14:val="none"/>
        </w:rPr>
        <w:t>been</w:t>
      </w:r>
      <w:r w:rsidR="001E0BAA">
        <w:rPr>
          <w:rFonts w:ascii="Arial" w:eastAsia="Arial" w:hAnsi="Arial" w:cs="Century Gothic Pro"/>
          <w:color w:val="64777E"/>
          <w:kern w:val="0"/>
          <w:sz w:val="18"/>
          <w:szCs w:val="18"/>
          <w14:ligatures w14:val="none"/>
        </w:rPr>
        <w:t xml:space="preserve"> driven by </w:t>
      </w:r>
      <w:r w:rsidR="00417EE7">
        <w:rPr>
          <w:rFonts w:ascii="Arial" w:eastAsia="Arial" w:hAnsi="Arial" w:cs="Century Gothic Pro"/>
          <w:color w:val="64777E"/>
          <w:kern w:val="0"/>
          <w:sz w:val="18"/>
          <w:szCs w:val="18"/>
          <w14:ligatures w14:val="none"/>
        </w:rPr>
        <w:t xml:space="preserve">prudent asset allocation and security selection. </w:t>
      </w:r>
    </w:p>
    <w:p w14:paraId="2EB62F3B" w14:textId="14E3FBE7" w:rsidR="00004BC9" w:rsidRDefault="00764008" w:rsidP="00004BC9">
      <w:pPr>
        <w:spacing w:after="120" w:line="276" w:lineRule="auto"/>
        <w:rPr>
          <w:rFonts w:ascii="Arial" w:eastAsia="Arial" w:hAnsi="Arial" w:cs="Century Gothic Pro"/>
          <w:color w:val="64777E"/>
          <w:kern w:val="0"/>
          <w:sz w:val="18"/>
          <w:szCs w:val="18"/>
          <w14:ligatures w14:val="none"/>
        </w:rPr>
      </w:pPr>
      <w:r w:rsidRPr="00764008">
        <w:rPr>
          <w:rFonts w:ascii="Arial" w:eastAsia="Arial" w:hAnsi="Arial" w:cs="Century Gothic Pro"/>
          <w:color w:val="64777E"/>
          <w:kern w:val="0"/>
          <w:sz w:val="18"/>
          <w:szCs w:val="18"/>
          <w14:ligatures w14:val="none"/>
        </w:rPr>
        <w:t>The fund is expected to outperform during stable or improving economic conditions, particularly when credit spreads tighten, and the risk of defaults remains low. In such environments, the portfolio can capitali</w:t>
      </w:r>
      <w:r w:rsidR="00436ABE">
        <w:rPr>
          <w:rFonts w:ascii="Arial" w:eastAsia="Arial" w:hAnsi="Arial" w:cs="Century Gothic Pro"/>
          <w:color w:val="64777E"/>
          <w:kern w:val="0"/>
          <w:sz w:val="18"/>
          <w:szCs w:val="18"/>
          <w14:ligatures w14:val="none"/>
        </w:rPr>
        <w:t>s</w:t>
      </w:r>
      <w:r w:rsidRPr="00764008">
        <w:rPr>
          <w:rFonts w:ascii="Arial" w:eastAsia="Arial" w:hAnsi="Arial" w:cs="Century Gothic Pro"/>
          <w:color w:val="64777E"/>
          <w:kern w:val="0"/>
          <w:sz w:val="18"/>
          <w:szCs w:val="18"/>
          <w14:ligatures w14:val="none"/>
        </w:rPr>
        <w:t>e on favourable market conditions, enhancing returns through its exposure to high-quality credit assets.</w:t>
      </w:r>
      <w:r w:rsidRPr="003205A5">
        <w:rPr>
          <w:rFonts w:ascii="Arial" w:eastAsia="Arial" w:hAnsi="Arial" w:cs="Century Gothic Pro"/>
          <w:color w:val="64777E"/>
          <w:kern w:val="0"/>
          <w:sz w:val="18"/>
          <w:szCs w:val="18"/>
          <w14:ligatures w14:val="none"/>
        </w:rPr>
        <w:t xml:space="preserve"> In</w:t>
      </w:r>
      <w:r w:rsidR="003205A5" w:rsidRPr="003205A5">
        <w:rPr>
          <w:rFonts w:ascii="Arial" w:eastAsia="Arial" w:hAnsi="Arial" w:cs="Century Gothic Pro"/>
          <w:color w:val="64777E"/>
          <w:kern w:val="0"/>
          <w:sz w:val="18"/>
          <w:szCs w:val="18"/>
          <w14:ligatures w14:val="none"/>
        </w:rPr>
        <w:t xml:space="preserve"> the fixed income sleeve </w:t>
      </w:r>
      <w:r>
        <w:rPr>
          <w:rFonts w:ascii="Arial" w:eastAsia="Arial" w:hAnsi="Arial" w:cs="Century Gothic Pro"/>
          <w:color w:val="64777E"/>
          <w:kern w:val="0"/>
          <w:sz w:val="18"/>
          <w:szCs w:val="18"/>
          <w14:ligatures w14:val="none"/>
        </w:rPr>
        <w:t xml:space="preserve">within a model portfolio </w:t>
      </w:r>
      <w:r w:rsidR="003205A5" w:rsidRPr="003205A5">
        <w:rPr>
          <w:rFonts w:ascii="Arial" w:eastAsia="Arial" w:hAnsi="Arial" w:cs="Century Gothic Pro"/>
          <w:color w:val="64777E"/>
          <w:kern w:val="0"/>
          <w:sz w:val="18"/>
          <w:szCs w:val="18"/>
          <w14:ligatures w14:val="none"/>
        </w:rPr>
        <w:t>this will blend best with less credit risky strategies to help neutralise the exposure.</w:t>
      </w:r>
    </w:p>
    <w:p w14:paraId="56771677" w14:textId="143BD9C8" w:rsidR="00462E8F" w:rsidRDefault="00462E8F" w:rsidP="00004BC9">
      <w:pPr>
        <w:spacing w:after="120" w:line="276" w:lineRule="auto"/>
        <w:rPr>
          <w:rFonts w:ascii="Arial" w:eastAsia="Arial" w:hAnsi="Arial" w:cs="Century Gothic Pro"/>
          <w:color w:val="64777E"/>
          <w:kern w:val="0"/>
          <w:sz w:val="18"/>
          <w:szCs w:val="18"/>
          <w14:ligatures w14:val="none"/>
        </w:rPr>
      </w:pPr>
      <w:r>
        <w:rPr>
          <w:rFonts w:ascii="Arial" w:eastAsia="Arial" w:hAnsi="Arial" w:cs="Century Gothic Pro"/>
          <w:color w:val="64777E"/>
          <w:kern w:val="0"/>
          <w:sz w:val="18"/>
          <w:szCs w:val="18"/>
          <w14:ligatures w14:val="none"/>
        </w:rPr>
        <w:t xml:space="preserve">It should be noted that credit strategies </w:t>
      </w:r>
      <w:r w:rsidR="00306A7E">
        <w:rPr>
          <w:rFonts w:ascii="Arial" w:eastAsia="Arial" w:hAnsi="Arial" w:cs="Century Gothic Pro"/>
          <w:color w:val="64777E"/>
          <w:kern w:val="0"/>
          <w:sz w:val="18"/>
          <w:szCs w:val="18"/>
          <w14:ligatures w14:val="none"/>
        </w:rPr>
        <w:t xml:space="preserve">can often exhibit a correlation with equity markets given the risk exposures they are both prone to. </w:t>
      </w:r>
      <w:r w:rsidR="00C269C5">
        <w:rPr>
          <w:rFonts w:ascii="Arial" w:eastAsia="Arial" w:hAnsi="Arial" w:cs="Century Gothic Pro"/>
          <w:color w:val="64777E"/>
          <w:kern w:val="0"/>
          <w:sz w:val="18"/>
          <w:szCs w:val="18"/>
          <w14:ligatures w14:val="none"/>
        </w:rPr>
        <w:t xml:space="preserve">As such, this should be considered when applying this fund to a model portfolio. It </w:t>
      </w:r>
      <w:r w:rsidR="00705AEE">
        <w:rPr>
          <w:rFonts w:ascii="Arial" w:eastAsia="Arial" w:hAnsi="Arial" w:cs="Century Gothic Pro"/>
          <w:color w:val="64777E"/>
          <w:kern w:val="0"/>
          <w:sz w:val="18"/>
          <w:szCs w:val="18"/>
          <w14:ligatures w14:val="none"/>
        </w:rPr>
        <w:t xml:space="preserve">should </w:t>
      </w:r>
      <w:r w:rsidR="00C269C5">
        <w:rPr>
          <w:rFonts w:ascii="Arial" w:eastAsia="Arial" w:hAnsi="Arial" w:cs="Century Gothic Pro"/>
          <w:color w:val="64777E"/>
          <w:kern w:val="0"/>
          <w:sz w:val="18"/>
          <w:szCs w:val="18"/>
          <w14:ligatures w14:val="none"/>
        </w:rPr>
        <w:t xml:space="preserve">provide better diversification in a portfolio that has </w:t>
      </w:r>
      <w:r w:rsidR="008410D6">
        <w:rPr>
          <w:rFonts w:ascii="Arial" w:eastAsia="Arial" w:hAnsi="Arial" w:cs="Century Gothic Pro"/>
          <w:color w:val="64777E"/>
          <w:kern w:val="0"/>
          <w:sz w:val="18"/>
          <w:szCs w:val="18"/>
          <w14:ligatures w14:val="none"/>
        </w:rPr>
        <w:t xml:space="preserve">a lower growth allocation. </w:t>
      </w:r>
      <w:r w:rsidR="00A3309E">
        <w:rPr>
          <w:rFonts w:ascii="Arial" w:eastAsia="Arial" w:hAnsi="Arial" w:cs="Century Gothic Pro"/>
          <w:color w:val="64777E"/>
          <w:kern w:val="0"/>
          <w:sz w:val="18"/>
          <w:szCs w:val="18"/>
          <w14:ligatures w14:val="none"/>
        </w:rPr>
        <w:t xml:space="preserve">Atchison is aware however that the degree and direction of this correlation can be influenced by </w:t>
      </w:r>
      <w:r w:rsidR="008E301B">
        <w:rPr>
          <w:rFonts w:ascii="Arial" w:eastAsia="Arial" w:hAnsi="Arial" w:cs="Century Gothic Pro"/>
          <w:color w:val="64777E"/>
          <w:kern w:val="0"/>
          <w:sz w:val="18"/>
          <w:szCs w:val="18"/>
          <w14:ligatures w14:val="none"/>
        </w:rPr>
        <w:t>several</w:t>
      </w:r>
      <w:r w:rsidR="00A3309E">
        <w:rPr>
          <w:rFonts w:ascii="Arial" w:eastAsia="Arial" w:hAnsi="Arial" w:cs="Century Gothic Pro"/>
          <w:color w:val="64777E"/>
          <w:kern w:val="0"/>
          <w:sz w:val="18"/>
          <w:szCs w:val="18"/>
          <w14:ligatures w14:val="none"/>
        </w:rPr>
        <w:t xml:space="preserve"> factors. </w:t>
      </w:r>
    </w:p>
    <w:p w14:paraId="7D26AF4E" w14:textId="77777777" w:rsidR="00790157" w:rsidRDefault="00790157" w:rsidP="00004BC9">
      <w:pPr>
        <w:spacing w:after="120" w:line="276" w:lineRule="auto"/>
        <w:rPr>
          <w:rFonts w:ascii="Arial" w:eastAsia="Arial" w:hAnsi="Arial" w:cs="Century Gothic Pro"/>
          <w:color w:val="64777E"/>
          <w:kern w:val="0"/>
          <w:sz w:val="18"/>
          <w:szCs w:val="18"/>
          <w14:ligatures w14:val="none"/>
        </w:rPr>
      </w:pPr>
    </w:p>
    <w:p w14:paraId="2DCE75AA" w14:textId="77777777" w:rsidR="00790157" w:rsidRPr="004F584D" w:rsidRDefault="00790157" w:rsidP="00004BC9">
      <w:pPr>
        <w:spacing w:after="120" w:line="276" w:lineRule="auto"/>
        <w:rPr>
          <w:rFonts w:ascii="Arial" w:eastAsia="Arial" w:hAnsi="Arial" w:cs="Century Gothic Pro"/>
          <w:color w:val="64777E"/>
          <w:kern w:val="0"/>
          <w:sz w:val="18"/>
          <w:szCs w:val="18"/>
          <w14:ligatures w14:val="none"/>
        </w:rPr>
      </w:pPr>
    </w:p>
    <w:p w14:paraId="1E3EB524" w14:textId="77777777" w:rsidR="00004BC9" w:rsidRPr="006D3AFE" w:rsidRDefault="00004BC9" w:rsidP="00004BC9">
      <w:pPr>
        <w:spacing w:after="120" w:line="276" w:lineRule="auto"/>
        <w:rPr>
          <w:rFonts w:ascii="Arial" w:eastAsia="Calibri" w:hAnsi="Arial" w:cs="Times New Roman (Body CS)"/>
          <w:color w:val="76C204"/>
          <w:kern w:val="0"/>
          <w:sz w:val="28"/>
          <w:szCs w:val="28"/>
          <w14:ligatures w14:val="none"/>
        </w:rPr>
      </w:pPr>
      <w:r w:rsidRPr="006D3AFE">
        <w:rPr>
          <w:rFonts w:ascii="Arial" w:eastAsia="Calibri" w:hAnsi="Arial" w:cs="Times New Roman (Body CS)"/>
          <w:color w:val="76C204"/>
          <w:kern w:val="0"/>
          <w:sz w:val="28"/>
          <w:szCs w:val="28"/>
          <w14:ligatures w14:val="none"/>
        </w:rPr>
        <w:t>CONCLUSION</w:t>
      </w:r>
    </w:p>
    <w:p w14:paraId="6628084A" w14:textId="3007FAA4" w:rsidR="00004BC9" w:rsidRDefault="00004BC9" w:rsidP="00F5625E">
      <w:pPr>
        <w:numPr>
          <w:ilvl w:val="0"/>
          <w:numId w:val="2"/>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Pr>
          <w:rFonts w:ascii="Arial" w:eastAsia="Arial" w:hAnsi="Arial" w:cs="Minion Pro"/>
          <w:color w:val="64777E"/>
          <w:kern w:val="0"/>
          <w:sz w:val="18"/>
          <w:szCs w:val="18"/>
          <w:lang w:val="en-US"/>
          <w14:ligatures w14:val="none"/>
        </w:rPr>
        <w:t xml:space="preserve">The </w:t>
      </w:r>
      <w:r w:rsidR="00A3309E">
        <w:rPr>
          <w:rFonts w:ascii="Arial" w:eastAsia="Arial" w:hAnsi="Arial" w:cs="Minion Pro"/>
          <w:color w:val="64777E"/>
          <w:kern w:val="0"/>
          <w:sz w:val="18"/>
          <w:szCs w:val="18"/>
          <w:lang w:val="en-US"/>
          <w14:ligatures w14:val="none"/>
        </w:rPr>
        <w:t xml:space="preserve">Fund is part of a major global business </w:t>
      </w:r>
      <w:r w:rsidR="00D64F4C">
        <w:rPr>
          <w:rFonts w:ascii="Arial" w:eastAsia="Arial" w:hAnsi="Arial" w:cs="Minion Pro"/>
          <w:color w:val="64777E"/>
          <w:kern w:val="0"/>
          <w:sz w:val="18"/>
          <w:szCs w:val="18"/>
          <w:lang w:val="en-US"/>
          <w14:ligatures w14:val="none"/>
        </w:rPr>
        <w:t xml:space="preserve">with access to fruitful resourcing. This is seen as a competitive edge allowing cross pollination of ideas and </w:t>
      </w:r>
      <w:r w:rsidR="00B76600">
        <w:rPr>
          <w:rFonts w:ascii="Arial" w:eastAsia="Arial" w:hAnsi="Arial" w:cs="Minion Pro"/>
          <w:color w:val="64777E"/>
          <w:kern w:val="0"/>
          <w:sz w:val="18"/>
          <w:szCs w:val="18"/>
          <w:lang w:val="en-US"/>
          <w14:ligatures w14:val="none"/>
        </w:rPr>
        <w:t>sharing of resources. It is seen as especially helpful for this fund given the reliance on top-down views</w:t>
      </w:r>
      <w:r w:rsidR="00842111">
        <w:rPr>
          <w:rFonts w:ascii="Arial" w:eastAsia="Arial" w:hAnsi="Arial" w:cs="Minion Pro"/>
          <w:color w:val="64777E"/>
          <w:kern w:val="0"/>
          <w:sz w:val="18"/>
          <w:szCs w:val="18"/>
          <w:lang w:val="en-US"/>
          <w14:ligatures w14:val="none"/>
        </w:rPr>
        <w:t xml:space="preserve">. </w:t>
      </w:r>
    </w:p>
    <w:p w14:paraId="25EF5B16" w14:textId="2125D7F1" w:rsidR="00842111" w:rsidRDefault="00842111" w:rsidP="00F5625E">
      <w:pPr>
        <w:numPr>
          <w:ilvl w:val="0"/>
          <w:numId w:val="2"/>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Pr>
          <w:rFonts w:ascii="Arial" w:eastAsia="Arial" w:hAnsi="Arial" w:cs="Minion Pro"/>
          <w:color w:val="64777E"/>
          <w:kern w:val="0"/>
          <w:sz w:val="18"/>
          <w:szCs w:val="18"/>
          <w:lang w:val="en-US"/>
          <w14:ligatures w14:val="none"/>
        </w:rPr>
        <w:t xml:space="preserve">The Australian fixed income desk is well resourced and led by a highly capable and experienced portfolio manager. </w:t>
      </w:r>
    </w:p>
    <w:p w14:paraId="1D3A57F2" w14:textId="58B3F094" w:rsidR="00842111" w:rsidRDefault="00842111" w:rsidP="00F5625E">
      <w:pPr>
        <w:numPr>
          <w:ilvl w:val="0"/>
          <w:numId w:val="2"/>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Pr>
          <w:rFonts w:ascii="Arial" w:eastAsia="Arial" w:hAnsi="Arial" w:cs="Minion Pro"/>
          <w:color w:val="64777E"/>
          <w:kern w:val="0"/>
          <w:sz w:val="18"/>
          <w:szCs w:val="18"/>
          <w:lang w:val="en-US"/>
          <w14:ligatures w14:val="none"/>
        </w:rPr>
        <w:t xml:space="preserve">The process is clear, well established and time proven. The </w:t>
      </w:r>
      <w:r w:rsidR="0060546E">
        <w:rPr>
          <w:rFonts w:ascii="Arial" w:eastAsia="Arial" w:hAnsi="Arial" w:cs="Minion Pro"/>
          <w:color w:val="64777E"/>
          <w:kern w:val="0"/>
          <w:sz w:val="18"/>
          <w:szCs w:val="18"/>
          <w:lang w:val="en-US"/>
          <w14:ligatures w14:val="none"/>
        </w:rPr>
        <w:t>focus on capital preservation and credit assessments of each individual issuer is viewed favourably</w:t>
      </w:r>
      <w:r w:rsidR="007D0C8B">
        <w:rPr>
          <w:rFonts w:ascii="Arial" w:eastAsia="Arial" w:hAnsi="Arial" w:cs="Minion Pro"/>
          <w:color w:val="64777E"/>
          <w:kern w:val="0"/>
          <w:sz w:val="18"/>
          <w:szCs w:val="18"/>
          <w:lang w:val="en-US"/>
          <w14:ligatures w14:val="none"/>
        </w:rPr>
        <w:t>. The manager places a high degree of focus on risk management</w:t>
      </w:r>
      <w:r w:rsidR="00771B3E">
        <w:rPr>
          <w:rFonts w:ascii="Arial" w:eastAsia="Arial" w:hAnsi="Arial" w:cs="Minion Pro"/>
          <w:color w:val="64777E"/>
          <w:kern w:val="0"/>
          <w:sz w:val="18"/>
          <w:szCs w:val="18"/>
          <w:lang w:val="en-US"/>
          <w14:ligatures w14:val="none"/>
        </w:rPr>
        <w:t xml:space="preserve"> and utilises proprietary systems. </w:t>
      </w:r>
    </w:p>
    <w:p w14:paraId="381F9E51" w14:textId="62DFD94B" w:rsidR="00771B3E" w:rsidRDefault="00771B3E" w:rsidP="00F5625E">
      <w:pPr>
        <w:numPr>
          <w:ilvl w:val="0"/>
          <w:numId w:val="2"/>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Pr>
          <w:rFonts w:ascii="Arial" w:eastAsia="Arial" w:hAnsi="Arial" w:cs="Minion Pro"/>
          <w:color w:val="64777E"/>
          <w:kern w:val="0"/>
          <w:sz w:val="18"/>
          <w:szCs w:val="18"/>
          <w:lang w:val="en-US"/>
          <w14:ligatures w14:val="none"/>
        </w:rPr>
        <w:t xml:space="preserve">The portfolio construction process </w:t>
      </w:r>
      <w:r w:rsidR="00837278">
        <w:rPr>
          <w:rFonts w:ascii="Arial" w:eastAsia="Arial" w:hAnsi="Arial" w:cs="Minion Pro"/>
          <w:color w:val="64777E"/>
          <w:kern w:val="0"/>
          <w:sz w:val="18"/>
          <w:szCs w:val="18"/>
          <w:lang w:val="en-US"/>
          <w14:ligatures w14:val="none"/>
        </w:rPr>
        <w:t xml:space="preserve">and the utilisation of a fund-of-funds approach </w:t>
      </w:r>
      <w:r>
        <w:rPr>
          <w:rFonts w:ascii="Arial" w:eastAsia="Arial" w:hAnsi="Arial" w:cs="Minion Pro"/>
          <w:color w:val="64777E"/>
          <w:kern w:val="0"/>
          <w:sz w:val="18"/>
          <w:szCs w:val="18"/>
          <w:lang w:val="en-US"/>
          <w14:ligatures w14:val="none"/>
        </w:rPr>
        <w:t>is differentiated and allows for a more diversified approach into more credit risky markets</w:t>
      </w:r>
      <w:r w:rsidR="00837278">
        <w:rPr>
          <w:rFonts w:ascii="Arial" w:eastAsia="Arial" w:hAnsi="Arial" w:cs="Minion Pro"/>
          <w:color w:val="64777E"/>
          <w:kern w:val="0"/>
          <w:sz w:val="18"/>
          <w:szCs w:val="18"/>
          <w:lang w:val="en-US"/>
          <w14:ligatures w14:val="none"/>
        </w:rPr>
        <w:t xml:space="preserve">. </w:t>
      </w:r>
    </w:p>
    <w:p w14:paraId="253587A2" w14:textId="472B00E8" w:rsidR="00004BC9" w:rsidRPr="004E34F0" w:rsidRDefault="00837278" w:rsidP="00004BC9">
      <w:pPr>
        <w:numPr>
          <w:ilvl w:val="0"/>
          <w:numId w:val="2"/>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sidRPr="004E34F0">
        <w:rPr>
          <w:rFonts w:ascii="Arial" w:eastAsia="Arial" w:hAnsi="Arial" w:cs="Minion Pro"/>
          <w:color w:val="64777E"/>
          <w:kern w:val="0"/>
          <w:sz w:val="18"/>
          <w:szCs w:val="18"/>
          <w:lang w:val="en-US"/>
          <w14:ligatures w14:val="none"/>
        </w:rPr>
        <w:t>Performance outcomes have been positive and above benchmark in all time periods. In the fixed income sleeve within a model portfolio this will blend best with less credit risky strategies to help neutralise the exposure.</w:t>
      </w:r>
    </w:p>
    <w:p w14:paraId="11A105B5" w14:textId="77777777" w:rsidR="00004BC9" w:rsidRDefault="00004BC9" w:rsidP="00004BC9">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6964988A" w14:textId="77777777" w:rsidR="00004BC9" w:rsidRDefault="00004BC9" w:rsidP="00004BC9">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533CD148" w14:textId="77777777" w:rsidR="00004BC9" w:rsidRDefault="00004BC9" w:rsidP="00004BC9">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5F358741" w14:textId="77777777" w:rsidR="00004BC9" w:rsidRDefault="00004BC9" w:rsidP="00004BC9">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54EC8E38" w14:textId="77777777" w:rsidR="00004BC9" w:rsidRDefault="00004BC9" w:rsidP="00004BC9">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1218E9EA" w14:textId="77777777" w:rsidR="00004BC9" w:rsidRDefault="00004BC9" w:rsidP="00004BC9">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60D27B3D" w14:textId="77777777" w:rsidR="00004BC9" w:rsidRDefault="00004BC9" w:rsidP="00004BC9">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sidRPr="00D67D76">
        <w:rPr>
          <w:noProof/>
        </w:rPr>
        <w:lastRenderedPageBreak/>
        <w:drawing>
          <wp:anchor distT="0" distB="0" distL="114300" distR="114300" simplePos="0" relativeHeight="251658241" behindDoc="0" locked="0" layoutInCell="1" allowOverlap="1" wp14:anchorId="11860D69" wp14:editId="5EBD4192">
            <wp:simplePos x="0" y="0"/>
            <wp:positionH relativeFrom="page">
              <wp:posOffset>-20169</wp:posOffset>
            </wp:positionH>
            <wp:positionV relativeFrom="paragraph">
              <wp:posOffset>-959883</wp:posOffset>
            </wp:positionV>
            <wp:extent cx="7607300" cy="10928985"/>
            <wp:effectExtent l="0" t="0" r="0" b="5715"/>
            <wp:wrapNone/>
            <wp:docPr id="41" name="Picture 35" descr="A picture containing shap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Picture 35" descr="A picture containing shape&#10;&#10;Description automatically generated"/>
                    <pic:cNvPicPr>
                      <a:picLocks noChangeArrowheads="1"/>
                    </pic:cNvPicPr>
                  </pic:nvPicPr>
                  <pic:blipFill>
                    <a:blip r:embed="rId16">
                      <a:extLst>
                        <a:ext uri="{28A0092B-C50C-407E-A947-70E740481C1C}">
                          <a14:useLocalDpi xmlns:a14="http://schemas.microsoft.com/office/drawing/2010/main" val="0"/>
                        </a:ext>
                      </a:extLst>
                    </a:blip>
                    <a:srcRect l="749" r="749"/>
                    <a:stretch>
                      <a:fillRect/>
                    </a:stretch>
                  </pic:blipFill>
                  <pic:spPr bwMode="auto">
                    <a:xfrm>
                      <a:off x="0" y="0"/>
                      <a:ext cx="7607300" cy="109289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CECD13" w14:textId="77777777" w:rsidR="00004BC9" w:rsidRDefault="00004BC9" w:rsidP="00004BC9">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699DF351" w14:textId="77777777" w:rsidR="00004BC9" w:rsidRDefault="00004BC9" w:rsidP="00004BC9">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6B8C6B13" w14:textId="77777777" w:rsidR="00004BC9" w:rsidRDefault="00004BC9" w:rsidP="00004BC9">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04F4B363" w14:textId="77777777" w:rsidR="00004BC9" w:rsidRDefault="00004BC9" w:rsidP="00004BC9">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3A929DA1" w14:textId="77777777" w:rsidR="00004BC9" w:rsidRDefault="00004BC9" w:rsidP="00004BC9">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25B5F9F7" w14:textId="77777777" w:rsidR="00004BC9" w:rsidRDefault="00004BC9" w:rsidP="00004BC9">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51432F5A" w14:textId="77777777" w:rsidR="00004BC9" w:rsidRDefault="00004BC9" w:rsidP="00004BC9">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197C797F" w14:textId="77777777" w:rsidR="00004BC9" w:rsidRDefault="00004BC9" w:rsidP="00004BC9">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574DC2E5" w14:textId="77777777" w:rsidR="00004BC9" w:rsidRDefault="00004BC9" w:rsidP="00004BC9">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5D3AA926" w14:textId="77777777" w:rsidR="00004BC9" w:rsidRDefault="00004BC9" w:rsidP="00004BC9">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sidRPr="00D67D76">
        <w:rPr>
          <w:rFonts w:cs="Arial"/>
          <w:noProof/>
        </w:rPr>
        <mc:AlternateContent>
          <mc:Choice Requires="wps">
            <w:drawing>
              <wp:anchor distT="0" distB="0" distL="114300" distR="114300" simplePos="0" relativeHeight="251658242" behindDoc="0" locked="0" layoutInCell="1" allowOverlap="1" wp14:anchorId="1D89625F" wp14:editId="1569E17F">
                <wp:simplePos x="0" y="0"/>
                <wp:positionH relativeFrom="column">
                  <wp:posOffset>-281940</wp:posOffset>
                </wp:positionH>
                <wp:positionV relativeFrom="paragraph">
                  <wp:posOffset>150495</wp:posOffset>
                </wp:positionV>
                <wp:extent cx="3093244" cy="6807993"/>
                <wp:effectExtent l="0" t="0" r="12065" b="1206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3093244" cy="6807993"/>
                        </a:xfrm>
                        <a:prstGeom prst="rect">
                          <a:avLst/>
                        </a:prstGeom>
                        <a:noFill/>
                        <a:ln w="6350">
                          <a:noFill/>
                        </a:ln>
                      </wps:spPr>
                      <wps:txbx>
                        <w:txbxContent>
                          <w:p w14:paraId="26DEA45C" w14:textId="77777777" w:rsidR="00004BC9" w:rsidRPr="009853E5" w:rsidRDefault="00004BC9" w:rsidP="00004BC9">
                            <w:pPr>
                              <w:pStyle w:val="Atchison-Contactdetails"/>
                              <w:rPr>
                                <w:color w:val="92F105"/>
                              </w:rPr>
                            </w:pPr>
                            <w:r w:rsidRPr="009853E5">
                              <w:rPr>
                                <w:color w:val="92F105"/>
                              </w:rPr>
                              <w:t>Atchison Consultants</w:t>
                            </w:r>
                            <w:r w:rsidRPr="009853E5">
                              <w:rPr>
                                <w:color w:val="92F105"/>
                              </w:rPr>
                              <w:br/>
                            </w:r>
                            <w:r w:rsidRPr="009853E5">
                              <w:t xml:space="preserve">Level 4, 125 Flinders Lane, </w:t>
                            </w:r>
                            <w:r w:rsidRPr="009853E5">
                              <w:br/>
                              <w:t>Melbourne Vic 3000</w:t>
                            </w:r>
                          </w:p>
                          <w:p w14:paraId="465437A3" w14:textId="77777777" w:rsidR="00004BC9" w:rsidRPr="009853E5" w:rsidRDefault="00004BC9" w:rsidP="00004BC9">
                            <w:pPr>
                              <w:pStyle w:val="Atchison-Contactdetails"/>
                            </w:pPr>
                            <w:r w:rsidRPr="009853E5">
                              <w:t xml:space="preserve">P: +61 (0) 3 9642 3835 </w:t>
                            </w:r>
                            <w:r w:rsidRPr="009853E5">
                              <w:br/>
                              <w:t xml:space="preserve">enquiries@atchison.com.au       </w:t>
                            </w:r>
                            <w:r w:rsidRPr="009853E5">
                              <w:br/>
                            </w:r>
                            <w:hyperlink r:id="rId17" w:history="1">
                              <w:r w:rsidRPr="00705738">
                                <w:rPr>
                                  <w:rStyle w:val="Hyperlink"/>
                                  <w:bCs w:val="0"/>
                                  <w:color w:val="92D050"/>
                                </w:rPr>
                                <w:t xml:space="preserve">www.atchison.com.au </w:t>
                              </w:r>
                              <w:r w:rsidRPr="009853E5">
                                <w:rPr>
                                  <w:rStyle w:val="Hyperlink"/>
                                  <w:bCs w:val="0"/>
                                </w:rPr>
                                <w:t xml:space="preserve">   </w:t>
                              </w:r>
                            </w:hyperlink>
                            <w:r w:rsidRPr="009853E5">
                              <w:t xml:space="preserve"> </w:t>
                            </w:r>
                          </w:p>
                          <w:p w14:paraId="27E7365E" w14:textId="77777777" w:rsidR="00004BC9" w:rsidRDefault="00004BC9" w:rsidP="00004BC9">
                            <w:pPr>
                              <w:pStyle w:val="Atchison-Contactdetails"/>
                            </w:pPr>
                            <w:r w:rsidRPr="009853E5">
                              <w:t xml:space="preserve">ABN: 58 097 703 047 </w:t>
                            </w:r>
                            <w:r w:rsidRPr="009853E5">
                              <w:br/>
                              <w:t>AFSL Number: 230846</w:t>
                            </w:r>
                          </w:p>
                          <w:p w14:paraId="6C1D78EE" w14:textId="77777777" w:rsidR="00004BC9" w:rsidRPr="009853E5" w:rsidRDefault="00004BC9" w:rsidP="00004BC9">
                            <w:pPr>
                              <w:pStyle w:val="Atchison-Contactdetails"/>
                            </w:pPr>
                            <w:r w:rsidRPr="009853E5">
                              <w:t xml:space="preserve">To obtain further information, </w:t>
                            </w:r>
                            <w:r w:rsidRPr="009853E5">
                              <w:br/>
                              <w:t xml:space="preserve">please contact: </w:t>
                            </w:r>
                          </w:p>
                          <w:p w14:paraId="41B538EC" w14:textId="77777777" w:rsidR="00004BC9" w:rsidRDefault="00004BC9" w:rsidP="00004BC9">
                            <w:pPr>
                              <w:pStyle w:val="Atchison-Contactdetails"/>
                              <w:rPr>
                                <w:rStyle w:val="Hyperlink"/>
                                <w:color w:val="92D050"/>
                              </w:rPr>
                            </w:pPr>
                          </w:p>
                          <w:p w14:paraId="60559651" w14:textId="77777777" w:rsidR="00004BC9" w:rsidRDefault="00004BC9" w:rsidP="00004BC9">
                            <w:pPr>
                              <w:pStyle w:val="Atchison-Contactdetails"/>
                              <w:rPr>
                                <w:rStyle w:val="Hyperlink"/>
                              </w:rPr>
                            </w:pPr>
                            <w:r>
                              <w:rPr>
                                <w:b/>
                                <w:bCs w:val="0"/>
                                <w:i/>
                                <w:iCs/>
                                <w:color w:val="92F105"/>
                              </w:rPr>
                              <w:t>Nick Hatzis</w:t>
                            </w:r>
                          </w:p>
                          <w:p w14:paraId="4E74806F" w14:textId="1A59C6F3" w:rsidR="00004BC9" w:rsidRDefault="0062080C" w:rsidP="00004BC9">
                            <w:pPr>
                              <w:pStyle w:val="Atchison-Contactdetails"/>
                            </w:pPr>
                            <w:r>
                              <w:rPr>
                                <w:i/>
                                <w:iCs/>
                              </w:rPr>
                              <w:t xml:space="preserve">Investment </w:t>
                            </w:r>
                            <w:r w:rsidR="00004BC9">
                              <w:rPr>
                                <w:i/>
                                <w:iCs/>
                              </w:rPr>
                              <w:t>Analyst</w:t>
                            </w:r>
                            <w:r w:rsidR="00004BC9" w:rsidRPr="009853E5">
                              <w:br/>
                              <w:t xml:space="preserve">P: +61  </w:t>
                            </w:r>
                            <w:r w:rsidR="00004BC9">
                              <w:t>433 717 504</w:t>
                            </w:r>
                          </w:p>
                          <w:p w14:paraId="66700873" w14:textId="77777777" w:rsidR="00004BC9" w:rsidRDefault="00004BC9" w:rsidP="00004BC9">
                            <w:pPr>
                              <w:pStyle w:val="Atchison-Contactdetails"/>
                              <w:rPr>
                                <w:rStyle w:val="Hyperlink"/>
                                <w:color w:val="92D050"/>
                              </w:rPr>
                            </w:pPr>
                            <w:r w:rsidRPr="00A2189C">
                              <w:rPr>
                                <w:color w:val="E8E8E8" w:themeColor="background2"/>
                              </w:rPr>
                              <w:t>E</w:t>
                            </w:r>
                            <w:r w:rsidRPr="00A2189C">
                              <w:rPr>
                                <w:color w:val="92D050"/>
                              </w:rPr>
                              <w:t xml:space="preserve">: </w:t>
                            </w:r>
                            <w:hyperlink r:id="rId18" w:history="1">
                              <w:r w:rsidRPr="002920E4">
                                <w:rPr>
                                  <w:rStyle w:val="Hyperlink"/>
                                </w:rPr>
                                <w:t>nick@atchison.com.au</w:t>
                              </w:r>
                            </w:hyperlink>
                          </w:p>
                          <w:p w14:paraId="730113B8" w14:textId="77777777" w:rsidR="00004BC9" w:rsidRDefault="00004BC9" w:rsidP="00004BC9">
                            <w:pPr>
                              <w:pStyle w:val="Atchison-Contactdetails"/>
                              <w:rPr>
                                <w:rStyle w:val="Hyperlink"/>
                              </w:rPr>
                            </w:pPr>
                          </w:p>
                          <w:p w14:paraId="0B5E61EC" w14:textId="77777777" w:rsidR="00004BC9" w:rsidRDefault="00004BC9" w:rsidP="00004BC9">
                            <w:pPr>
                              <w:pStyle w:val="Atchison-Contactdetails"/>
                              <w:rPr>
                                <w:rStyle w:val="Hyperlink"/>
                              </w:rPr>
                            </w:pPr>
                          </w:p>
                          <w:p w14:paraId="3EDF59C0" w14:textId="77777777" w:rsidR="00004BC9" w:rsidRPr="009853E5" w:rsidRDefault="00004BC9" w:rsidP="00004BC9">
                            <w:pPr>
                              <w:pStyle w:val="Atchison-Contactdetails"/>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D89625F" id="_x0000_t202" coordsize="21600,21600" o:spt="202" path="m,l,21600r21600,l21600,xe">
                <v:stroke joinstyle="miter"/>
                <v:path gradientshapeok="t" o:connecttype="rect"/>
              </v:shapetype>
              <v:shape id="Text Box 2" o:spid="_x0000_s1026" type="#_x0000_t202" style="position:absolute;margin-left:-22.2pt;margin-top:11.85pt;width:243.55pt;height:536.0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" filled="f" stroked="f" strokeweight=".5pt">
                <v:textbox inset="0,0,0,0">
                  <w:txbxContent>
                    <w:p w14:paraId="26DEA45C" w14:textId="77777777" w:rsidR="00004BC9" w:rsidRPr="009853E5" w:rsidRDefault="00004BC9" w:rsidP="00004BC9">
                      <w:pPr>
                        <w:pStyle w:val="Atchison-Contactdetails"/>
                        <w:rPr>
                          <w:color w:val="92F105"/>
                        </w:rPr>
                      </w:pPr>
                      <w:r w:rsidRPr="009853E5">
                        <w:rPr>
                          <w:color w:val="92F105"/>
                        </w:rPr>
                        <w:t>Atchison Consultants</w:t>
                      </w:r>
                      <w:r w:rsidRPr="009853E5">
                        <w:rPr>
                          <w:color w:val="92F105"/>
                        </w:rPr>
                        <w:br/>
                      </w:r>
                      <w:r w:rsidRPr="009853E5">
                        <w:t xml:space="preserve">Level 4, 125 Flinders Lane, </w:t>
                      </w:r>
                      <w:r w:rsidRPr="009853E5">
                        <w:br/>
                        <w:t>Melbourne Vic 3000</w:t>
                      </w:r>
                    </w:p>
                    <w:p w14:paraId="465437A3" w14:textId="77777777" w:rsidR="00004BC9" w:rsidRPr="009853E5" w:rsidRDefault="00004BC9" w:rsidP="00004BC9">
                      <w:pPr>
                        <w:pStyle w:val="Atchison-Contactdetails"/>
                      </w:pPr>
                      <w:r w:rsidRPr="009853E5">
                        <w:t xml:space="preserve">P: +61 (0) 3 9642 3835 </w:t>
                      </w:r>
                      <w:r w:rsidRPr="009853E5">
                        <w:br/>
                        <w:t xml:space="preserve">enquiries@atchison.com.au       </w:t>
                      </w:r>
                      <w:r w:rsidRPr="009853E5">
                        <w:br/>
                      </w:r>
                      <w:hyperlink r:id="rId19" w:history="1">
                        <w:r w:rsidRPr="00705738">
                          <w:rPr>
                            <w:rStyle w:val="Hyperlink"/>
                            <w:bCs w:val="0"/>
                            <w:color w:val="92D050"/>
                          </w:rPr>
                          <w:t xml:space="preserve">www.atchison.com.au </w:t>
                        </w:r>
                        <w:r w:rsidRPr="009853E5">
                          <w:rPr>
                            <w:rStyle w:val="Hyperlink"/>
                            <w:bCs w:val="0"/>
                          </w:rPr>
                          <w:t xml:space="preserve">   </w:t>
                        </w:r>
                      </w:hyperlink>
                      <w:r w:rsidRPr="009853E5">
                        <w:t xml:space="preserve"> </w:t>
                      </w:r>
                    </w:p>
                    <w:p w14:paraId="27E7365E" w14:textId="77777777" w:rsidR="00004BC9" w:rsidRDefault="00004BC9" w:rsidP="00004BC9">
                      <w:pPr>
                        <w:pStyle w:val="Atchison-Contactdetails"/>
                      </w:pPr>
                      <w:r w:rsidRPr="009853E5">
                        <w:t xml:space="preserve">ABN: 58 097 703 047 </w:t>
                      </w:r>
                      <w:r w:rsidRPr="009853E5">
                        <w:br/>
                        <w:t>AFSL Number: 230846</w:t>
                      </w:r>
                    </w:p>
                    <w:p w14:paraId="6C1D78EE" w14:textId="77777777" w:rsidR="00004BC9" w:rsidRPr="009853E5" w:rsidRDefault="00004BC9" w:rsidP="00004BC9">
                      <w:pPr>
                        <w:pStyle w:val="Atchison-Contactdetails"/>
                      </w:pPr>
                      <w:r w:rsidRPr="009853E5">
                        <w:t xml:space="preserve">To obtain further information, </w:t>
                      </w:r>
                      <w:r w:rsidRPr="009853E5">
                        <w:br/>
                        <w:t xml:space="preserve">please contact: </w:t>
                      </w:r>
                    </w:p>
                    <w:p w14:paraId="41B538EC" w14:textId="77777777" w:rsidR="00004BC9" w:rsidRDefault="00004BC9" w:rsidP="00004BC9">
                      <w:pPr>
                        <w:pStyle w:val="Atchison-Contactdetails"/>
                        <w:rPr>
                          <w:rStyle w:val="Hyperlink"/>
                          <w:color w:val="92D050"/>
                        </w:rPr>
                      </w:pPr>
                    </w:p>
                    <w:p w14:paraId="60559651" w14:textId="77777777" w:rsidR="00004BC9" w:rsidRDefault="00004BC9" w:rsidP="00004BC9">
                      <w:pPr>
                        <w:pStyle w:val="Atchison-Contactdetails"/>
                        <w:rPr>
                          <w:rStyle w:val="Hyperlink"/>
                        </w:rPr>
                      </w:pPr>
                      <w:r>
                        <w:rPr>
                          <w:b/>
                          <w:bCs w:val="0"/>
                          <w:i/>
                          <w:iCs/>
                          <w:color w:val="92F105"/>
                        </w:rPr>
                        <w:t>Nick Hatzis</w:t>
                      </w:r>
                    </w:p>
                    <w:p w14:paraId="4E74806F" w14:textId="1A59C6F3" w:rsidR="00004BC9" w:rsidRDefault="0062080C" w:rsidP="00004BC9">
                      <w:pPr>
                        <w:pStyle w:val="Atchison-Contactdetails"/>
                      </w:pPr>
                      <w:r>
                        <w:rPr>
                          <w:i/>
                          <w:iCs/>
                        </w:rPr>
                        <w:t xml:space="preserve">Investment </w:t>
                      </w:r>
                      <w:r w:rsidR="00004BC9">
                        <w:rPr>
                          <w:i/>
                          <w:iCs/>
                        </w:rPr>
                        <w:t>Analyst</w:t>
                      </w:r>
                      <w:r w:rsidR="00004BC9" w:rsidRPr="009853E5">
                        <w:br/>
                        <w:t xml:space="preserve">P: +61  </w:t>
                      </w:r>
                      <w:r w:rsidR="00004BC9">
                        <w:t>433 717 504</w:t>
                      </w:r>
                    </w:p>
                    <w:p w14:paraId="66700873" w14:textId="77777777" w:rsidR="00004BC9" w:rsidRDefault="00004BC9" w:rsidP="00004BC9">
                      <w:pPr>
                        <w:pStyle w:val="Atchison-Contactdetails"/>
                        <w:rPr>
                          <w:rStyle w:val="Hyperlink"/>
                          <w:color w:val="92D050"/>
                        </w:rPr>
                      </w:pPr>
                      <w:r w:rsidRPr="00A2189C">
                        <w:rPr>
                          <w:color w:val="E8E8E8" w:themeColor="background2"/>
                        </w:rPr>
                        <w:t>E</w:t>
                      </w:r>
                      <w:r w:rsidRPr="00A2189C">
                        <w:rPr>
                          <w:color w:val="92D050"/>
                        </w:rPr>
                        <w:t xml:space="preserve">: </w:t>
                      </w:r>
                      <w:hyperlink r:id="rId20" w:history="1">
                        <w:r w:rsidRPr="002920E4">
                          <w:rPr>
                            <w:rStyle w:val="Hyperlink"/>
                          </w:rPr>
                          <w:t>nick@atchison.com.au</w:t>
                        </w:r>
                      </w:hyperlink>
                    </w:p>
                    <w:p w14:paraId="730113B8" w14:textId="77777777" w:rsidR="00004BC9" w:rsidRDefault="00004BC9" w:rsidP="00004BC9">
                      <w:pPr>
                        <w:pStyle w:val="Atchison-Contactdetails"/>
                        <w:rPr>
                          <w:rStyle w:val="Hyperlink"/>
                        </w:rPr>
                      </w:pPr>
                    </w:p>
                    <w:p w14:paraId="0B5E61EC" w14:textId="77777777" w:rsidR="00004BC9" w:rsidRDefault="00004BC9" w:rsidP="00004BC9">
                      <w:pPr>
                        <w:pStyle w:val="Atchison-Contactdetails"/>
                        <w:rPr>
                          <w:rStyle w:val="Hyperlink"/>
                        </w:rPr>
                      </w:pPr>
                    </w:p>
                    <w:p w14:paraId="3EDF59C0" w14:textId="77777777" w:rsidR="00004BC9" w:rsidRPr="009853E5" w:rsidRDefault="00004BC9" w:rsidP="00004BC9">
                      <w:pPr>
                        <w:pStyle w:val="Atchison-Contactdetails"/>
                      </w:pPr>
                    </w:p>
                  </w:txbxContent>
                </v:textbox>
              </v:shape>
            </w:pict>
          </mc:Fallback>
        </mc:AlternateContent>
      </w:r>
    </w:p>
    <w:p w14:paraId="2E780E77" w14:textId="77777777" w:rsidR="00004BC9" w:rsidRDefault="00004BC9" w:rsidP="00004BC9">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4ECFC824" w14:textId="77777777" w:rsidR="00004BC9" w:rsidRDefault="00004BC9" w:rsidP="00004BC9">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143DEFE9" w14:textId="77777777" w:rsidR="00004BC9" w:rsidRDefault="00004BC9" w:rsidP="00004BC9">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27298787" w14:textId="77777777" w:rsidR="00004BC9" w:rsidRDefault="00004BC9" w:rsidP="00004BC9">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7F40FD43" w14:textId="77777777" w:rsidR="00004BC9" w:rsidRDefault="00004BC9" w:rsidP="00004BC9">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7B40EE85" w14:textId="77777777" w:rsidR="00004BC9" w:rsidRDefault="00004BC9" w:rsidP="00004BC9">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050B55D6" w14:textId="77777777" w:rsidR="00004BC9" w:rsidRDefault="00004BC9" w:rsidP="00004BC9">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1EE8AD6A" w14:textId="77777777" w:rsidR="00004BC9" w:rsidRDefault="00004BC9" w:rsidP="00004BC9">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5F517799" w14:textId="77777777" w:rsidR="00004BC9" w:rsidRDefault="00004BC9" w:rsidP="00004BC9">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53661C58" w14:textId="77777777" w:rsidR="00004BC9" w:rsidRDefault="00004BC9" w:rsidP="00004BC9">
      <w:pPr>
        <w:pStyle w:val="BasicParagraph"/>
        <w:rPr>
          <w:sz w:val="22"/>
          <w:szCs w:val="22"/>
        </w:rPr>
      </w:pPr>
    </w:p>
    <w:p w14:paraId="0F5A4E2A" w14:textId="77777777" w:rsidR="00004BC9" w:rsidRDefault="00004BC9" w:rsidP="00004BC9">
      <w:pPr>
        <w:pStyle w:val="BasicParagraph"/>
        <w:rPr>
          <w:sz w:val="22"/>
          <w:szCs w:val="22"/>
        </w:rPr>
      </w:pPr>
    </w:p>
    <w:p w14:paraId="16754DD8" w14:textId="77777777" w:rsidR="00004BC9" w:rsidRDefault="00004BC9" w:rsidP="00004BC9">
      <w:pPr>
        <w:pStyle w:val="BasicParagraph"/>
        <w:rPr>
          <w:sz w:val="22"/>
          <w:szCs w:val="22"/>
        </w:rPr>
      </w:pPr>
    </w:p>
    <w:p w14:paraId="2D380DDE" w14:textId="77777777" w:rsidR="00004BC9" w:rsidRDefault="00004BC9" w:rsidP="00004BC9">
      <w:pPr>
        <w:pStyle w:val="BasicParagraph"/>
        <w:rPr>
          <w:sz w:val="22"/>
          <w:szCs w:val="22"/>
        </w:rPr>
      </w:pPr>
    </w:p>
    <w:p w14:paraId="5A78D28A" w14:textId="77777777" w:rsidR="00004BC9" w:rsidRPr="00227DAB" w:rsidRDefault="00004BC9" w:rsidP="00004BC9">
      <w:pPr>
        <w:pStyle w:val="BasicParagraph"/>
        <w:rPr>
          <w:sz w:val="22"/>
          <w:szCs w:val="22"/>
        </w:rPr>
      </w:pPr>
    </w:p>
    <w:p w14:paraId="6831F09E" w14:textId="77777777" w:rsidR="00004BC9" w:rsidRPr="009A7328" w:rsidRDefault="00004BC9" w:rsidP="00004BC9">
      <w:pPr>
        <w:autoSpaceDE w:val="0"/>
        <w:autoSpaceDN w:val="0"/>
        <w:adjustRightInd w:val="0"/>
        <w:spacing w:after="100" w:line="276" w:lineRule="auto"/>
        <w:textAlignment w:val="center"/>
        <w:rPr>
          <w:rStyle w:val="normaltextrun"/>
          <w:rFonts w:ascii="Arial" w:eastAsia="Arial" w:hAnsi="Arial" w:cs="Minion Pro"/>
          <w:color w:val="64777E"/>
          <w:kern w:val="0"/>
          <w:sz w:val="18"/>
          <w:szCs w:val="18"/>
          <w:lang w:val="en-US"/>
          <w14:ligatures w14:val="none"/>
        </w:rPr>
      </w:pPr>
    </w:p>
    <w:p w14:paraId="5EE8BA3C" w14:textId="77777777" w:rsidR="00004BC9" w:rsidRDefault="00004BC9" w:rsidP="00004BC9"/>
    <w:p w14:paraId="41366777" w14:textId="1BAAA893" w:rsidR="00183A58" w:rsidRDefault="00183A58"/>
    <w:sectPr w:rsidR="00183A58" w:rsidSect="00004BC9">
      <w:footerReference w:type="default" r:id="rId21"/>
      <w:pgSz w:w="11906" w:h="16838"/>
      <w:pgMar w:top="1440" w:right="1440" w:bottom="1440" w:left="1440" w:header="708"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35BC24" w14:textId="77777777" w:rsidR="009C4E15" w:rsidRDefault="009C4E15" w:rsidP="009C4E15">
      <w:pPr>
        <w:spacing w:after="0" w:line="240" w:lineRule="auto"/>
      </w:pPr>
      <w:r>
        <w:separator/>
      </w:r>
    </w:p>
  </w:endnote>
  <w:endnote w:type="continuationSeparator" w:id="0">
    <w:p w14:paraId="2199DB36" w14:textId="77777777" w:rsidR="009C4E15" w:rsidRDefault="009C4E15" w:rsidP="009C4E15">
      <w:pPr>
        <w:spacing w:after="0" w:line="240" w:lineRule="auto"/>
      </w:pPr>
      <w:r>
        <w:continuationSeparator/>
      </w:r>
    </w:p>
  </w:endnote>
  <w:endnote w:type="continuationNotice" w:id="1">
    <w:p w14:paraId="67A060D8" w14:textId="77777777" w:rsidR="009C4E15" w:rsidRDefault="009C4E1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inion Pro">
    <w:altName w:val="Calibri"/>
    <w:panose1 w:val="00000000000000000000"/>
    <w:charset w:val="00"/>
    <w:family w:val="roman"/>
    <w:notTrueType/>
    <w:pitch w:val="variable"/>
    <w:sig w:usb0="6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Body CS)">
    <w:altName w:val="Times New Roman"/>
    <w:charset w:val="00"/>
    <w:family w:val="roman"/>
    <w:pitch w:val="default"/>
  </w:font>
  <w:font w:name="Century Gothic Pro">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5548875"/>
      <w:docPartObj>
        <w:docPartGallery w:val="Page Numbers (Bottom of Page)"/>
        <w:docPartUnique/>
      </w:docPartObj>
    </w:sdtPr>
    <w:sdtEndPr>
      <w:rPr>
        <w:noProof/>
        <w:color w:val="64777E"/>
        <w:sz w:val="18"/>
        <w:szCs w:val="18"/>
      </w:rPr>
    </w:sdtEndPr>
    <w:sdtContent>
      <w:p w14:paraId="30EC923A" w14:textId="77777777" w:rsidR="00790157" w:rsidRPr="00E634A6" w:rsidRDefault="00790157">
        <w:pPr>
          <w:pStyle w:val="Footer"/>
          <w:jc w:val="right"/>
          <w:rPr>
            <w:color w:val="64777E"/>
            <w:sz w:val="18"/>
            <w:szCs w:val="18"/>
          </w:rPr>
        </w:pPr>
        <w:r>
          <w:rPr>
            <w:noProof/>
          </w:rPr>
          <mc:AlternateContent>
            <mc:Choice Requires="wpg">
              <w:drawing>
                <wp:anchor distT="0" distB="0" distL="114300" distR="114300" simplePos="0" relativeHeight="251658240" behindDoc="1" locked="0" layoutInCell="1" allowOverlap="1" wp14:anchorId="05E62349" wp14:editId="68E462B6">
                  <wp:simplePos x="0" y="0"/>
                  <wp:positionH relativeFrom="column">
                    <wp:posOffset>102358</wp:posOffset>
                  </wp:positionH>
                  <wp:positionV relativeFrom="paragraph">
                    <wp:posOffset>-375314</wp:posOffset>
                  </wp:positionV>
                  <wp:extent cx="4659042" cy="520700"/>
                  <wp:effectExtent l="0" t="0" r="0" b="0"/>
                  <wp:wrapNone/>
                  <wp:docPr id="668352338" name="Group 1"/>
                  <wp:cNvGraphicFramePr/>
                  <a:graphic xmlns:a="http://schemas.openxmlformats.org/drawingml/2006/main">
                    <a:graphicData uri="http://schemas.microsoft.com/office/word/2010/wordprocessingGroup">
                      <wpg:wgp>
                        <wpg:cNvGrpSpPr/>
                        <wpg:grpSpPr>
                          <a:xfrm>
                            <a:off x="0" y="0"/>
                            <a:ext cx="4659042" cy="520700"/>
                            <a:chOff x="0" y="0"/>
                            <a:chExt cx="4659042" cy="520700"/>
                          </a:xfrm>
                        </wpg:grpSpPr>
                        <pic:pic xmlns:pic="http://schemas.openxmlformats.org/drawingml/2006/picture">
                          <pic:nvPicPr>
                            <pic:cNvPr id="571177889" name="Picture 12" descr="Text Box"/>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5120" cy="520700"/>
                            </a:xfrm>
                            <a:prstGeom prst="rect">
                              <a:avLst/>
                            </a:prstGeom>
                            <a:noFill/>
                            <a:ln>
                              <a:noFill/>
                            </a:ln>
                          </pic:spPr>
                        </pic:pic>
                        <pic:pic xmlns:pic="http://schemas.openxmlformats.org/drawingml/2006/picture">
                          <pic:nvPicPr>
                            <pic:cNvPr id="194085893" name="Picture 11" descr="Text Box"/>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3063922" y="0"/>
                              <a:ext cx="1595120" cy="520700"/>
                            </a:xfrm>
                            <a:prstGeom prst="rect">
                              <a:avLst/>
                            </a:prstGeom>
                            <a:noFill/>
                            <a:ln>
                              <a:noFill/>
                            </a:ln>
                          </pic:spPr>
                        </pic:pic>
                        <pic:pic xmlns:pic="http://schemas.openxmlformats.org/drawingml/2006/picture">
                          <pic:nvPicPr>
                            <pic:cNvPr id="1375716389" name="Picture 10" descr="Text Box"/>
                            <pic:cNvPicPr>
                              <a:picLocks noChangeAspect="1"/>
                            </pic:cNvPicPr>
                          </pic:nvPicPr>
                          <pic:blipFill>
                            <a:blip r:embed="rId3">
                              <a:extLst>
                                <a:ext uri="{28A0092B-C50C-407E-A947-70E740481C1C}">
                                  <a14:useLocalDpi xmlns:a14="http://schemas.microsoft.com/office/drawing/2010/main" val="0"/>
                                </a:ext>
                              </a:extLst>
                            </a:blip>
                            <a:srcRect/>
                            <a:stretch>
                              <a:fillRect/>
                            </a:stretch>
                          </pic:blipFill>
                          <pic:spPr bwMode="auto">
                            <a:xfrm>
                              <a:off x="1508078" y="0"/>
                              <a:ext cx="1595120" cy="520700"/>
                            </a:xfrm>
                            <a:prstGeom prst="rect">
                              <a:avLst/>
                            </a:prstGeom>
                            <a:noFill/>
                            <a:ln>
                              <a:noFill/>
                            </a:ln>
                          </pic:spPr>
                        </pic:pic>
                      </wpg:wgp>
                    </a:graphicData>
                  </a:graphic>
                </wp:anchor>
              </w:drawing>
            </mc:Choice>
            <mc:Fallback>
              <w:pict>
                <v:group w14:anchorId="0AD54733" id="Group 1" o:spid="_x0000_s1026" style="position:absolute;margin-left:8.05pt;margin-top:-29.55pt;width:366.85pt;height:41pt;z-index:-251658240" coordsize="46590,52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alt="Text Box" style="position:absolute;width:15951;height:52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">
                    <v:imagedata r:id="rId4" o:title="Text Box"/>
                  </v:shape>
                  <v:shape id="Picture 11" o:spid="_x0000_s1028" type="#_x0000_t75" alt="Text Box" style="position:absolute;left:30639;width:15951;height:52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">
                    <v:imagedata r:id="rId5" o:title="Text Box"/>
                  </v:shape>
                  <v:shape id="Picture 10" o:spid="_x0000_s1029" type="#_x0000_t75" alt="Text Box" style="position:absolute;left:15080;width:15951;height:52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">
                    <v:imagedata r:id="rId6" o:title="Text Box"/>
                  </v:shape>
                </v:group>
              </w:pict>
            </mc:Fallback>
          </mc:AlternateContent>
        </w:r>
        <w:r w:rsidRPr="00E634A6">
          <w:rPr>
            <w:color w:val="64777E"/>
            <w:sz w:val="18"/>
            <w:szCs w:val="18"/>
          </w:rPr>
          <w:fldChar w:fldCharType="begin"/>
        </w:r>
        <w:r w:rsidRPr="00E634A6">
          <w:rPr>
            <w:color w:val="64777E"/>
            <w:sz w:val="18"/>
            <w:szCs w:val="18"/>
          </w:rPr>
          <w:instrText xml:space="preserve"> PAGE   \* MERGEFORMAT </w:instrText>
        </w:r>
        <w:r w:rsidRPr="00E634A6">
          <w:rPr>
            <w:color w:val="64777E"/>
            <w:sz w:val="18"/>
            <w:szCs w:val="18"/>
          </w:rPr>
          <w:fldChar w:fldCharType="separate"/>
        </w:r>
        <w:r w:rsidRPr="00E634A6">
          <w:rPr>
            <w:noProof/>
            <w:color w:val="64777E"/>
            <w:sz w:val="18"/>
            <w:szCs w:val="18"/>
          </w:rPr>
          <w:t>2</w:t>
        </w:r>
        <w:r w:rsidRPr="00E634A6">
          <w:rPr>
            <w:noProof/>
            <w:color w:val="64777E"/>
            <w:sz w:val="18"/>
            <w:szCs w:val="18"/>
          </w:rPr>
          <w:fldChar w:fldCharType="end"/>
        </w:r>
      </w:p>
    </w:sdtContent>
  </w:sdt>
  <w:p w14:paraId="7EB29761" w14:textId="77777777" w:rsidR="00790157" w:rsidRDefault="007901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8A4664" w14:textId="77777777" w:rsidR="009C4E15" w:rsidRDefault="009C4E15" w:rsidP="009C4E15">
      <w:pPr>
        <w:spacing w:after="0" w:line="240" w:lineRule="auto"/>
      </w:pPr>
      <w:r>
        <w:separator/>
      </w:r>
    </w:p>
  </w:footnote>
  <w:footnote w:type="continuationSeparator" w:id="0">
    <w:p w14:paraId="3249F642" w14:textId="77777777" w:rsidR="009C4E15" w:rsidRDefault="009C4E15" w:rsidP="009C4E15">
      <w:pPr>
        <w:spacing w:after="0" w:line="240" w:lineRule="auto"/>
      </w:pPr>
      <w:r>
        <w:continuationSeparator/>
      </w:r>
    </w:p>
  </w:footnote>
  <w:footnote w:type="continuationNotice" w:id="1">
    <w:p w14:paraId="73EAAA0F" w14:textId="77777777" w:rsidR="009C4E15" w:rsidRDefault="009C4E1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6D2C97"/>
    <w:multiLevelType w:val="hybridMultilevel"/>
    <w:tmpl w:val="3CAE4950"/>
    <w:lvl w:ilvl="0" w:tplc="D298C35E">
      <w:start w:val="1"/>
      <w:numFmt w:val="bullet"/>
      <w:lvlText w:val=""/>
      <w:lvlJc w:val="left"/>
      <w:pPr>
        <w:ind w:left="720" w:hanging="360"/>
      </w:pPr>
      <w:rPr>
        <w:rFonts w:ascii="Symbol" w:hAnsi="Symbol" w:hint="default"/>
        <w:color w:val="79BB42"/>
        <w:sz w:val="16"/>
        <w:u w:color="8A999D"/>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5D42B92"/>
    <w:multiLevelType w:val="hybridMultilevel"/>
    <w:tmpl w:val="E9DC2D96"/>
    <w:lvl w:ilvl="0" w:tplc="0C090009">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12901539">
    <w:abstractNumId w:val="1"/>
  </w:num>
  <w:num w:numId="2" w16cid:durableId="287973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004BC9"/>
    <w:rsid w:val="00003A68"/>
    <w:rsid w:val="00004BC9"/>
    <w:rsid w:val="000203AD"/>
    <w:rsid w:val="000450E7"/>
    <w:rsid w:val="00083A9C"/>
    <w:rsid w:val="000A7203"/>
    <w:rsid w:val="000D0AAE"/>
    <w:rsid w:val="0014693D"/>
    <w:rsid w:val="0017427A"/>
    <w:rsid w:val="00183A58"/>
    <w:rsid w:val="00186167"/>
    <w:rsid w:val="001D1DBB"/>
    <w:rsid w:val="001E0BAA"/>
    <w:rsid w:val="001F0464"/>
    <w:rsid w:val="001F59B4"/>
    <w:rsid w:val="00200057"/>
    <w:rsid w:val="002117EE"/>
    <w:rsid w:val="00257F78"/>
    <w:rsid w:val="00277623"/>
    <w:rsid w:val="0028175C"/>
    <w:rsid w:val="002D4EB0"/>
    <w:rsid w:val="002F69CC"/>
    <w:rsid w:val="00304066"/>
    <w:rsid w:val="00306A7E"/>
    <w:rsid w:val="00317C0A"/>
    <w:rsid w:val="003205A5"/>
    <w:rsid w:val="00336CF5"/>
    <w:rsid w:val="00373D81"/>
    <w:rsid w:val="003744C0"/>
    <w:rsid w:val="003843DF"/>
    <w:rsid w:val="0039094C"/>
    <w:rsid w:val="00391B6C"/>
    <w:rsid w:val="00394384"/>
    <w:rsid w:val="003D07BA"/>
    <w:rsid w:val="003D0C5E"/>
    <w:rsid w:val="003D44F3"/>
    <w:rsid w:val="003E45F0"/>
    <w:rsid w:val="00417EE7"/>
    <w:rsid w:val="00436ABE"/>
    <w:rsid w:val="00457F0C"/>
    <w:rsid w:val="0046106A"/>
    <w:rsid w:val="00462E8F"/>
    <w:rsid w:val="004676D2"/>
    <w:rsid w:val="00473849"/>
    <w:rsid w:val="00484F14"/>
    <w:rsid w:val="004E34F0"/>
    <w:rsid w:val="00531CF7"/>
    <w:rsid w:val="00547433"/>
    <w:rsid w:val="005700B9"/>
    <w:rsid w:val="005D63FC"/>
    <w:rsid w:val="005F624E"/>
    <w:rsid w:val="0060546E"/>
    <w:rsid w:val="006055CB"/>
    <w:rsid w:val="006064B0"/>
    <w:rsid w:val="0062080C"/>
    <w:rsid w:val="00682AC9"/>
    <w:rsid w:val="00687F67"/>
    <w:rsid w:val="006A2E4E"/>
    <w:rsid w:val="006D5C62"/>
    <w:rsid w:val="006F6157"/>
    <w:rsid w:val="00705AEE"/>
    <w:rsid w:val="00735455"/>
    <w:rsid w:val="007419F1"/>
    <w:rsid w:val="00753AEF"/>
    <w:rsid w:val="00764008"/>
    <w:rsid w:val="00771B3E"/>
    <w:rsid w:val="00784786"/>
    <w:rsid w:val="00790157"/>
    <w:rsid w:val="007967CC"/>
    <w:rsid w:val="007A419D"/>
    <w:rsid w:val="007D07A7"/>
    <w:rsid w:val="007D0C8B"/>
    <w:rsid w:val="007D7FEC"/>
    <w:rsid w:val="007F4443"/>
    <w:rsid w:val="00810827"/>
    <w:rsid w:val="00837278"/>
    <w:rsid w:val="008410D6"/>
    <w:rsid w:val="00842111"/>
    <w:rsid w:val="008562BC"/>
    <w:rsid w:val="0086156B"/>
    <w:rsid w:val="00873BC0"/>
    <w:rsid w:val="00882CD9"/>
    <w:rsid w:val="008A67C5"/>
    <w:rsid w:val="008E301B"/>
    <w:rsid w:val="00925C66"/>
    <w:rsid w:val="009C0069"/>
    <w:rsid w:val="009C39F6"/>
    <w:rsid w:val="009C4E15"/>
    <w:rsid w:val="009D2F86"/>
    <w:rsid w:val="00A01B0A"/>
    <w:rsid w:val="00A02AFA"/>
    <w:rsid w:val="00A315A1"/>
    <w:rsid w:val="00A3309E"/>
    <w:rsid w:val="00AF1739"/>
    <w:rsid w:val="00B4731A"/>
    <w:rsid w:val="00B578D5"/>
    <w:rsid w:val="00B64683"/>
    <w:rsid w:val="00B76600"/>
    <w:rsid w:val="00BA3ACE"/>
    <w:rsid w:val="00C200B7"/>
    <w:rsid w:val="00C269C5"/>
    <w:rsid w:val="00C3632E"/>
    <w:rsid w:val="00C57478"/>
    <w:rsid w:val="00C80A78"/>
    <w:rsid w:val="00CC2875"/>
    <w:rsid w:val="00CD0DF8"/>
    <w:rsid w:val="00CF513A"/>
    <w:rsid w:val="00D00727"/>
    <w:rsid w:val="00D1234E"/>
    <w:rsid w:val="00D33231"/>
    <w:rsid w:val="00D33BA4"/>
    <w:rsid w:val="00D440DD"/>
    <w:rsid w:val="00D4781D"/>
    <w:rsid w:val="00D64F4C"/>
    <w:rsid w:val="00DF4B4A"/>
    <w:rsid w:val="00DF7D2B"/>
    <w:rsid w:val="00E0708E"/>
    <w:rsid w:val="00F37D33"/>
    <w:rsid w:val="00F5625E"/>
    <w:rsid w:val="00F8495B"/>
    <w:rsid w:val="00FA5078"/>
    <w:rsid w:val="00FE1EB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49417"/>
  <w15:chartTrackingRefBased/>
  <w15:docId w15:val="{24972722-61A7-4F76-A650-02B5697E1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BC9"/>
  </w:style>
  <w:style w:type="paragraph" w:styleId="Heading1">
    <w:name w:val="heading 1"/>
    <w:basedOn w:val="Normal"/>
    <w:next w:val="Normal"/>
    <w:link w:val="Heading1Char"/>
    <w:uiPriority w:val="9"/>
    <w:qFormat/>
    <w:rsid w:val="00004B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4B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4B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4B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4B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4B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4B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4B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4B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B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4B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4B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4B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4B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4B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4B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4B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4BC9"/>
    <w:rPr>
      <w:rFonts w:eastAsiaTheme="majorEastAsia" w:cstheme="majorBidi"/>
      <w:color w:val="272727" w:themeColor="text1" w:themeTint="D8"/>
    </w:rPr>
  </w:style>
  <w:style w:type="paragraph" w:styleId="Title">
    <w:name w:val="Title"/>
    <w:basedOn w:val="Normal"/>
    <w:next w:val="Normal"/>
    <w:link w:val="TitleChar"/>
    <w:uiPriority w:val="10"/>
    <w:qFormat/>
    <w:rsid w:val="00004B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4B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4B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4B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4BC9"/>
    <w:pPr>
      <w:spacing w:before="160"/>
      <w:jc w:val="center"/>
    </w:pPr>
    <w:rPr>
      <w:i/>
      <w:iCs/>
      <w:color w:val="404040" w:themeColor="text1" w:themeTint="BF"/>
    </w:rPr>
  </w:style>
  <w:style w:type="character" w:customStyle="1" w:styleId="QuoteChar">
    <w:name w:val="Quote Char"/>
    <w:basedOn w:val="DefaultParagraphFont"/>
    <w:link w:val="Quote"/>
    <w:uiPriority w:val="29"/>
    <w:rsid w:val="00004BC9"/>
    <w:rPr>
      <w:i/>
      <w:iCs/>
      <w:color w:val="404040" w:themeColor="text1" w:themeTint="BF"/>
    </w:rPr>
  </w:style>
  <w:style w:type="paragraph" w:styleId="ListParagraph">
    <w:name w:val="List Paragraph"/>
    <w:basedOn w:val="Normal"/>
    <w:uiPriority w:val="34"/>
    <w:qFormat/>
    <w:rsid w:val="00004BC9"/>
    <w:pPr>
      <w:ind w:left="720"/>
      <w:contextualSpacing/>
    </w:pPr>
  </w:style>
  <w:style w:type="character" w:styleId="IntenseEmphasis">
    <w:name w:val="Intense Emphasis"/>
    <w:basedOn w:val="DefaultParagraphFont"/>
    <w:uiPriority w:val="21"/>
    <w:qFormat/>
    <w:rsid w:val="00004BC9"/>
    <w:rPr>
      <w:i/>
      <w:iCs/>
      <w:color w:val="0F4761" w:themeColor="accent1" w:themeShade="BF"/>
    </w:rPr>
  </w:style>
  <w:style w:type="paragraph" w:styleId="IntenseQuote">
    <w:name w:val="Intense Quote"/>
    <w:basedOn w:val="Normal"/>
    <w:next w:val="Normal"/>
    <w:link w:val="IntenseQuoteChar"/>
    <w:uiPriority w:val="30"/>
    <w:qFormat/>
    <w:rsid w:val="00004B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4BC9"/>
    <w:rPr>
      <w:i/>
      <w:iCs/>
      <w:color w:val="0F4761" w:themeColor="accent1" w:themeShade="BF"/>
    </w:rPr>
  </w:style>
  <w:style w:type="character" w:styleId="IntenseReference">
    <w:name w:val="Intense Reference"/>
    <w:basedOn w:val="DefaultParagraphFont"/>
    <w:uiPriority w:val="32"/>
    <w:qFormat/>
    <w:rsid w:val="00004BC9"/>
    <w:rPr>
      <w:b/>
      <w:bCs/>
      <w:smallCaps/>
      <w:color w:val="0F4761" w:themeColor="accent1" w:themeShade="BF"/>
      <w:spacing w:val="5"/>
    </w:rPr>
  </w:style>
  <w:style w:type="paragraph" w:customStyle="1" w:styleId="paragraph">
    <w:name w:val="paragraph"/>
    <w:basedOn w:val="Normal"/>
    <w:rsid w:val="00004BC9"/>
    <w:pPr>
      <w:spacing w:before="100" w:beforeAutospacing="1" w:after="100" w:afterAutospacing="1" w:line="240" w:lineRule="auto"/>
    </w:pPr>
    <w:rPr>
      <w:rFonts w:ascii="Times New Roman" w:eastAsia="Times New Roman" w:hAnsi="Times New Roman" w:cs="Times New Roman"/>
      <w:kern w:val="0"/>
      <w:lang w:eastAsia="en-AU"/>
      <w14:ligatures w14:val="none"/>
    </w:rPr>
  </w:style>
  <w:style w:type="character" w:customStyle="1" w:styleId="wacimagecontainer">
    <w:name w:val="wacimagecontainer"/>
    <w:basedOn w:val="DefaultParagraphFont"/>
    <w:rsid w:val="00004BC9"/>
  </w:style>
  <w:style w:type="character" w:customStyle="1" w:styleId="normaltextrun">
    <w:name w:val="normaltextrun"/>
    <w:basedOn w:val="DefaultParagraphFont"/>
    <w:rsid w:val="00004BC9"/>
  </w:style>
  <w:style w:type="character" w:customStyle="1" w:styleId="eop">
    <w:name w:val="eop"/>
    <w:basedOn w:val="DefaultParagraphFont"/>
    <w:rsid w:val="00004BC9"/>
  </w:style>
  <w:style w:type="character" w:styleId="Hyperlink">
    <w:name w:val="Hyperlink"/>
    <w:uiPriority w:val="99"/>
    <w:unhideWhenUsed/>
    <w:rsid w:val="00004BC9"/>
    <w:rPr>
      <w:color w:val="16A0C1"/>
      <w:u w:val="single"/>
    </w:rPr>
  </w:style>
  <w:style w:type="paragraph" w:customStyle="1" w:styleId="BasicParagraph">
    <w:name w:val="[Basic Paragraph]"/>
    <w:basedOn w:val="Normal"/>
    <w:uiPriority w:val="99"/>
    <w:rsid w:val="00004BC9"/>
    <w:pPr>
      <w:autoSpaceDE w:val="0"/>
      <w:autoSpaceDN w:val="0"/>
      <w:adjustRightInd w:val="0"/>
      <w:spacing w:after="100" w:line="240" w:lineRule="auto"/>
      <w:textAlignment w:val="center"/>
    </w:pPr>
    <w:rPr>
      <w:rFonts w:ascii="Arial" w:eastAsia="Arial" w:hAnsi="Arial" w:cs="Minion Pro"/>
      <w:color w:val="64777E"/>
      <w:kern w:val="0"/>
      <w:sz w:val="20"/>
      <w:lang w:val="en-US"/>
      <w14:ligatures w14:val="none"/>
    </w:rPr>
  </w:style>
  <w:style w:type="paragraph" w:customStyle="1" w:styleId="Atchison-Contactdetails">
    <w:name w:val="Atchison-Contact details"/>
    <w:rsid w:val="00004BC9"/>
    <w:pPr>
      <w:spacing w:after="120" w:line="276" w:lineRule="auto"/>
    </w:pPr>
    <w:rPr>
      <w:rFonts w:ascii="Arial" w:eastAsia="Arial" w:hAnsi="Arial" w:cs="Times New Roman"/>
      <w:bCs/>
      <w:color w:val="FFFFFF"/>
      <w:kern w:val="0"/>
      <w:sz w:val="18"/>
      <w:szCs w:val="22"/>
      <w:lang w:val="en-US"/>
      <w14:ligatures w14:val="none"/>
    </w:rPr>
  </w:style>
  <w:style w:type="paragraph" w:styleId="Footer">
    <w:name w:val="footer"/>
    <w:basedOn w:val="Normal"/>
    <w:link w:val="FooterChar"/>
    <w:uiPriority w:val="99"/>
    <w:unhideWhenUsed/>
    <w:rsid w:val="00004B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4BC9"/>
  </w:style>
  <w:style w:type="paragraph" w:styleId="Header">
    <w:name w:val="header"/>
    <w:basedOn w:val="Normal"/>
    <w:link w:val="HeaderChar"/>
    <w:uiPriority w:val="99"/>
    <w:semiHidden/>
    <w:unhideWhenUsed/>
    <w:rsid w:val="009C4E1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C4E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mailto:nick@atchison.com.au"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www.atchison.com.au/" TargetMode="Externa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hyperlink" Target="mailto:nick@atchison.com.au"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yperlink" Target="http://www.atchison.com.a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png"/><Relationship Id="rId1" Type="http://schemas.openxmlformats.org/officeDocument/2006/relationships/image" Target="media/image8.png"/><Relationship Id="rId6" Type="http://schemas.openxmlformats.org/officeDocument/2006/relationships/image" Target="media/image13.png"/><Relationship Id="rId5" Type="http://schemas.openxmlformats.org/officeDocument/2006/relationships/image" Target="media/image12.png"/><Relationship Id="rId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8" ma:contentTypeDescription="Create a new document." ma:contentTypeScope="" ma:versionID="17afb16e0fbe716d3dcf2481b32b5550">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f6d0bb8d4e6a5d6b988ea2ed2503dbb5"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E44D733-A675-4892-9FE9-F5840B3D4DFD}">
  <ds:schemaRefs>
    <ds:schemaRef ds:uri="http://schemas.microsoft.com/sharepoint/v3/contenttype/forms"/>
  </ds:schemaRefs>
</ds:datastoreItem>
</file>

<file path=customXml/itemProps2.xml><?xml version="1.0" encoding="utf-8"?>
<ds:datastoreItem xmlns:ds="http://schemas.openxmlformats.org/officeDocument/2006/customXml" ds:itemID="{E0444FA8-F746-47C1-8415-EEA8AF837AA5}">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customXml/itemProps3.xml><?xml version="1.0" encoding="utf-8"?>
<ds:datastoreItem xmlns:ds="http://schemas.openxmlformats.org/officeDocument/2006/customXml" ds:itemID="{D57B9721-F643-4C9B-95C5-4D6BEEEE97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6</Pages>
  <Words>1823</Words>
  <Characters>10394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Hatzis</dc:creator>
  <cp:keywords/>
  <dc:description/>
  <cp:lastModifiedBy>Nick Hatzis</cp:lastModifiedBy>
  <cp:revision>70</cp:revision>
  <dcterms:created xsi:type="dcterms:W3CDTF">2024-10-03T01:04:00Z</dcterms:created>
  <dcterms:modified xsi:type="dcterms:W3CDTF">2024-10-07T01:03:00Z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ies>
</file>