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Murray Irrigation Reserve</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MurrayIrrigation</w:t>
            </w:r>
          </w:p>
        </w:tc>
        <w:tc>
          <w:tcPr>
            <w:tcW w:type="dxa" w:w="1370"/>
          </w:tcPr>
          <w:p>
            <w:r>
              <w:rPr>
                <w:b/>
              </w:rPr>
              <w:t>3.41</w:t>
            </w:r>
          </w:p>
        </w:tc>
        <w:tc>
          <w:tcPr>
            <w:tcW w:type="dxa" w:w="1370"/>
          </w:tcPr>
          <w:p>
            <w:r>
              <w:rPr>
                <w:b/>
              </w:rPr>
              <w:t>9.47</w:t>
            </w:r>
          </w:p>
        </w:tc>
        <w:tc>
          <w:tcPr>
            <w:tcW w:type="dxa" w:w="1370"/>
          </w:tcPr>
          <w:p>
            <w:r>
              <w:rPr>
                <w:b/>
              </w:rPr>
              <w:t>9.72</w:t>
            </w:r>
          </w:p>
        </w:tc>
        <w:tc>
          <w:tcPr>
            <w:tcW w:type="dxa" w:w="1370"/>
          </w:tcPr>
          <w:p>
            <w:r>
              <w:rPr>
                <w:b/>
              </w:rPr>
              <w:t>14.46</w:t>
            </w:r>
          </w:p>
        </w:tc>
        <w:tc>
          <w:tcPr>
            <w:tcW w:type="dxa" w:w="1370"/>
          </w:tcPr>
          <w:p>
            <w:r>
              <w:rPr>
                <w:b/>
              </w:rPr>
              <w:t>13.57</w:t>
            </w:r>
          </w:p>
        </w:tc>
        <w:tc>
          <w:tcPr>
            <w:tcW w:type="dxa" w:w="1370"/>
          </w:tcPr>
          <w:p>
            <w:r>
              <w:rPr>
                <w:b/>
              </w:rPr>
              <w:t>12.22</w:t>
            </w:r>
          </w:p>
        </w:tc>
      </w:tr>
      <w:tr>
        <w:tc>
          <w:tcPr>
            <w:tcW w:type="dxa" w:w="2551"/>
          </w:tcPr>
          <w:p>
            <w:r>
              <w:t>Peer Group</w:t>
            </w:r>
          </w:p>
        </w:tc>
        <w:tc>
          <w:tcPr>
            <w:tcW w:type="dxa" w:w="1370"/>
          </w:tcPr>
          <w:p>
            <w:r>
              <w:t>3.28</w:t>
            </w:r>
          </w:p>
        </w:tc>
        <w:tc>
          <w:tcPr>
            <w:tcW w:type="dxa" w:w="1370"/>
          </w:tcPr>
          <w:p>
            <w:r>
              <w:t>8.52</w:t>
            </w:r>
          </w:p>
        </w:tc>
        <w:tc>
          <w:tcPr>
            <w:tcW w:type="dxa" w:w="1370"/>
          </w:tcPr>
          <w:p>
            <w:r>
              <w:t>9.01</w:t>
            </w:r>
          </w:p>
        </w:tc>
        <w:tc>
          <w:tcPr>
            <w:tcW w:type="dxa" w:w="1370"/>
          </w:tcPr>
          <w:p>
            <w:r>
              <w:t>12.55</w:t>
            </w:r>
          </w:p>
        </w:tc>
        <w:tc>
          <w:tcPr>
            <w:tcW w:type="dxa" w:w="1370"/>
          </w:tcPr>
          <w:p>
            <w:r>
              <w:t>11.52</w:t>
            </w:r>
          </w:p>
        </w:tc>
        <w:tc>
          <w:tcPr>
            <w:tcW w:type="dxa" w:w="1370"/>
          </w:tcPr>
          <w:p>
            <w:r>
              <w:t>10.13</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3.46</w:t>
            </w:r>
          </w:p>
        </w:tc>
      </w:tr>
      <w:tr>
        <w:tc>
          <w:tcPr>
            <w:tcW w:type="dxa" w:w="2551"/>
          </w:tcPr>
          <w:p>
            <w:r>
              <w:t>Outperformance vs Peers</w:t>
            </w:r>
          </w:p>
        </w:tc>
        <w:tc>
          <w:tcPr>
            <w:tcW w:type="dxa" w:w="1370"/>
          </w:tcPr>
          <w:p>
            <w:r>
              <w:t>0.14</w:t>
            </w:r>
          </w:p>
        </w:tc>
        <w:tc>
          <w:tcPr>
            <w:tcW w:type="dxa" w:w="1370"/>
          </w:tcPr>
          <w:p>
            <w:r>
              <w:t>0.95</w:t>
            </w:r>
          </w:p>
        </w:tc>
        <w:tc>
          <w:tcPr>
            <w:tcW w:type="dxa" w:w="1370"/>
          </w:tcPr>
          <w:p>
            <w:r>
              <w:t>0.71</w:t>
            </w:r>
          </w:p>
        </w:tc>
        <w:tc>
          <w:tcPr>
            <w:tcW w:type="dxa" w:w="1370"/>
          </w:tcPr>
          <w:p>
            <w:r>
              <w:t>1.91</w:t>
            </w:r>
          </w:p>
        </w:tc>
        <w:tc>
          <w:tcPr>
            <w:tcW w:type="dxa" w:w="1370"/>
          </w:tcPr>
          <w:p>
            <w:r>
              <w:t>2.05</w:t>
            </w:r>
          </w:p>
        </w:tc>
        <w:tc>
          <w:tcPr>
            <w:tcW w:type="dxa" w:w="1370"/>
          </w:tcPr>
          <w:p>
            <w:r>
              <w:t>2.09</w:t>
            </w:r>
          </w:p>
        </w:tc>
      </w:tr>
      <w:tr>
        <w:tc>
          <w:tcPr>
            <w:tcW w:type="dxa" w:w="2551"/>
          </w:tcPr>
          <w:p>
            <w:r>
              <w:t>Outperformance vs Inflation</w:t>
            </w:r>
          </w:p>
        </w:tc>
        <w:tc>
          <w:tcPr>
            <w:tcW w:type="dxa" w:w="1370"/>
          </w:tcPr>
          <w:p>
            <w:r>
              <w:t>3.42</w:t>
            </w:r>
          </w:p>
        </w:tc>
        <w:tc>
          <w:tcPr>
            <w:tcW w:type="dxa" w:w="1370"/>
          </w:tcPr>
          <w:p>
            <w:r>
              <w:t>8.13</w:t>
            </w:r>
          </w:p>
        </w:tc>
        <w:tc>
          <w:tcPr>
            <w:tcW w:type="dxa" w:w="1370"/>
          </w:tcPr>
          <w:p>
            <w:r>
              <w:t>7.67</w:t>
            </w:r>
          </w:p>
        </w:tc>
        <w:tc>
          <w:tcPr>
            <w:tcW w:type="dxa" w:w="1370"/>
          </w:tcPr>
          <w:p>
            <w:r>
              <w:t>12.38</w:t>
            </w:r>
          </w:p>
        </w:tc>
        <w:tc>
          <w:tcPr>
            <w:tcW w:type="dxa" w:w="1370"/>
          </w:tcPr>
          <w:p>
            <w:r>
              <w:t>10.33</w:t>
            </w:r>
          </w:p>
        </w:tc>
        <w:tc>
          <w:tcPr>
            <w:tcW w:type="dxa" w:w="1370"/>
          </w:tcPr>
          <w:p>
            <w:r>
              <w:t>8.77</w:t>
            </w:r>
          </w:p>
        </w:tc>
      </w:tr>
    </w:tbl>
    <w:p>
      <w:pPr>
        <w:pStyle w:val="Note"/>
      </w:pPr>
      <w:r>
        <w:t>Inception Date: 30 June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MurrayIrrigation</w:t>
            </w:r>
          </w:p>
        </w:tc>
      </w:tr>
      <w:tr>
        <w:tc>
          <w:tcPr>
            <w:tcW w:type="dxa" w:w="2268"/>
          </w:tcPr>
          <w:p>
            <w:r>
              <w:t>Benchmark</w:t>
            </w:r>
          </w:p>
        </w:tc>
        <w:tc>
          <w:tcPr>
            <w:tcW w:type="dxa" w:w="3118"/>
          </w:tcPr>
          <w:p>
            <w:r>
              <w:t>nan</w:t>
            </w:r>
          </w:p>
        </w:tc>
      </w:tr>
      <w:tr>
        <w:tc>
          <w:tcPr>
            <w:tcW w:type="dxa" w:w="2268"/>
          </w:tcPr>
          <w:p>
            <w:r>
              <w:t>Inception Date</w:t>
            </w:r>
          </w:p>
        </w:tc>
        <w:tc>
          <w:tcPr>
            <w:tcW w:type="dxa" w:w="3118"/>
          </w:tcPr>
          <w:p>
            <w:r>
              <w:t>30 June 2022</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10.49</w:t>
            </w:r>
          </w:p>
        </w:tc>
        <w:tc>
          <w:tcPr>
            <w:tcW w:type="dxa" w:w="1559"/>
          </w:tcPr>
          <w:p>
            <w:r>
              <w:t>15.64</w:t>
            </w:r>
          </w:p>
        </w:tc>
      </w:tr>
      <w:tr>
        <w:tc>
          <w:tcPr>
            <w:tcW w:type="dxa" w:w="1984"/>
          </w:tcPr>
          <w:p>
            <w:r>
              <w:t>International Shares</w:t>
            </w:r>
          </w:p>
        </w:tc>
        <w:tc>
          <w:tcPr>
            <w:tcW w:type="dxa" w:w="1559"/>
          </w:tcPr>
          <w:p>
            <w:r>
              <w:t>20.5</w:t>
            </w:r>
          </w:p>
        </w:tc>
        <w:tc>
          <w:tcPr>
            <w:tcW w:type="dxa" w:w="1559"/>
          </w:tcPr>
          <w:p>
            <w:r>
              <w:t>20.32</w:t>
            </w:r>
          </w:p>
        </w:tc>
      </w:tr>
      <w:tr>
        <w:tc>
          <w:tcPr>
            <w:tcW w:type="dxa" w:w="1984"/>
          </w:tcPr>
          <w:p>
            <w:r>
              <w:t>Real Assets</w:t>
            </w:r>
          </w:p>
        </w:tc>
        <w:tc>
          <w:tcPr>
            <w:tcW w:type="dxa" w:w="1559"/>
          </w:tcPr>
          <w:p>
            <w:r>
              <w:t>2.04</w:t>
            </w:r>
          </w:p>
        </w:tc>
        <w:tc>
          <w:tcPr>
            <w:tcW w:type="dxa" w:w="1559"/>
          </w:tcPr>
          <w:p>
            <w:r>
              <w:t>20.93</w:t>
            </w:r>
          </w:p>
        </w:tc>
      </w:tr>
      <w:tr>
        <w:tc>
          <w:tcPr>
            <w:tcW w:type="dxa" w:w="1984"/>
          </w:tcPr>
          <w:p>
            <w:r>
              <w:t>Alternatives</w:t>
            </w:r>
          </w:p>
        </w:tc>
        <w:tc>
          <w:tcPr>
            <w:tcW w:type="dxa" w:w="1559"/>
          </w:tcPr>
          <w:p>
            <w:r>
              <w:t>0.0</w:t>
            </w:r>
          </w:p>
        </w:tc>
        <w:tc>
          <w:tcPr>
            <w:tcW w:type="dxa" w:w="1559"/>
          </w:tcPr>
          <w:p>
            <w:r>
              <w:t>0.0</w:t>
            </w:r>
          </w:p>
        </w:tc>
      </w:tr>
      <w:tr>
        <w:tc>
          <w:tcPr>
            <w:tcW w:type="dxa" w:w="1984"/>
          </w:tcPr>
          <w:p>
            <w:r>
              <w:t>Long Duration</w:t>
            </w:r>
          </w:p>
        </w:tc>
        <w:tc>
          <w:tcPr>
            <w:tcW w:type="dxa" w:w="1559"/>
          </w:tcPr>
          <w:p>
            <w:r>
              <w:t>4.37</w:t>
            </w:r>
          </w:p>
        </w:tc>
        <w:tc>
          <w:tcPr>
            <w:tcW w:type="dxa" w:w="1559"/>
          </w:tcPr>
          <w:p>
            <w:r>
              <w:t>5.67</w:t>
            </w:r>
          </w:p>
        </w:tc>
      </w:tr>
      <w:tr>
        <w:tc>
          <w:tcPr>
            <w:tcW w:type="dxa" w:w="1984"/>
          </w:tcPr>
          <w:p>
            <w:r>
              <w:t>Floating Rate</w:t>
            </w:r>
          </w:p>
        </w:tc>
        <w:tc>
          <w:tcPr>
            <w:tcW w:type="dxa" w:w="1559"/>
          </w:tcPr>
          <w:p>
            <w:r>
              <w:t>0.0</w:t>
            </w:r>
          </w:p>
        </w:tc>
        <w:tc>
          <w:tcPr>
            <w:tcW w:type="dxa" w:w="1559"/>
          </w:tcPr>
          <w:p>
            <w:r>
              <w:t>0.0</w:t>
            </w:r>
          </w:p>
        </w:tc>
      </w:tr>
      <w:tr>
        <w:tc>
          <w:tcPr>
            <w:tcW w:type="dxa" w:w="1984"/>
          </w:tcPr>
          <w:p>
            <w:r>
              <w:t>Cash</w:t>
            </w:r>
          </w:p>
        </w:tc>
        <w:tc>
          <w:tcPr>
            <w:tcW w:type="dxa" w:w="1559"/>
          </w:tcPr>
          <w:p>
            <w:r>
              <w:t>4.17</w:t>
            </w:r>
          </w:p>
        </w:tc>
        <w:tc>
          <w:tcPr>
            <w:tcW w:type="dxa" w:w="1559"/>
          </w:tcPr>
          <w:p>
            <w:r>
              <w:t>4.29</w:t>
            </w:r>
          </w:p>
        </w:tc>
      </w:tr>
    </w:tbl>
    <w:p>
      <w:pPr>
        <w:pStyle w:val="Note"/>
      </w:pPr>
      <w:r>
        <w:t>Inception Date: 30 June 2022</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Macq True Aus Eq</w:t>
            </w:r>
          </w:p>
        </w:tc>
        <w:tc>
          <w:tcPr>
            <w:tcW w:type="dxa" w:w="1417"/>
          </w:tcPr>
          <w:p>
            <w:r>
              <w:t>10.76</w:t>
            </w:r>
          </w:p>
        </w:tc>
        <w:tc>
          <w:tcPr>
            <w:tcW w:type="dxa" w:w="1417"/>
          </w:tcPr>
          <w:p>
            <w:r>
              <w:t>16.08</w:t>
            </w:r>
          </w:p>
        </w:tc>
      </w:tr>
      <w:tr>
        <w:tc>
          <w:tcPr>
            <w:tcW w:type="dxa" w:w="2268"/>
          </w:tcPr>
          <w:p>
            <w:r>
              <w:rPr>
                <w:b/>
              </w:rPr>
              <w:t>BM: Australian Shares</w:t>
            </w:r>
          </w:p>
        </w:tc>
        <w:tc>
          <w:tcPr>
            <w:tcW w:type="dxa" w:w="1417"/>
          </w:tcPr>
          <w:p>
            <w:r>
              <w:rPr>
                <w:b/>
              </w:rPr>
              <w:t>10.49</w:t>
            </w:r>
          </w:p>
        </w:tc>
        <w:tc>
          <w:tcPr>
            <w:tcW w:type="dxa" w:w="1417"/>
          </w:tcPr>
          <w:p>
            <w:r>
              <w:rPr>
                <w:b/>
              </w:rPr>
              <w:t>15.89</w:t>
            </w:r>
          </w:p>
        </w:tc>
      </w:tr>
      <w:tr>
        <w:tc>
          <w:tcPr>
            <w:tcW w:type="dxa" w:w="2268"/>
          </w:tcPr>
          <w:p>
            <w:r>
              <w:t>Macq True Int Eq</w:t>
            </w:r>
          </w:p>
        </w:tc>
        <w:tc>
          <w:tcPr>
            <w:tcW w:type="dxa" w:w="1417"/>
          </w:tcPr>
          <w:p>
            <w:r>
              <w:t>22.91</w:t>
            </w:r>
          </w:p>
        </w:tc>
        <w:tc>
          <w:tcPr>
            <w:tcW w:type="dxa" w:w="1417"/>
          </w:tcPr>
          <w:p>
            <w:r>
              <w:t>23.03</w:t>
            </w:r>
          </w:p>
        </w:tc>
      </w:tr>
      <w:tr>
        <w:tc>
          <w:tcPr>
            <w:tcW w:type="dxa" w:w="2268"/>
          </w:tcPr>
          <w:p>
            <w:r>
              <w:t>Macq True EM</w:t>
            </w:r>
          </w:p>
        </w:tc>
        <w:tc>
          <w:tcPr>
            <w:tcW w:type="dxa" w:w="1417"/>
          </w:tcPr>
          <w:p>
            <w:r>
              <w:t>22.73</w:t>
            </w:r>
          </w:p>
        </w:tc>
        <w:tc>
          <w:tcPr>
            <w:tcW w:type="dxa" w:w="1417"/>
          </w:tcPr>
          <w:p>
            <w:r>
              <w:t>19.71</w:t>
            </w:r>
          </w:p>
        </w:tc>
      </w:tr>
      <w:tr>
        <w:tc>
          <w:tcPr>
            <w:tcW w:type="dxa" w:w="2268"/>
          </w:tcPr>
          <w:p>
            <w:r>
              <w:rPr>
                <w:b/>
              </w:rPr>
              <w:t>BM: International Shares</w:t>
            </w:r>
          </w:p>
        </w:tc>
        <w:tc>
          <w:tcPr>
            <w:tcW w:type="dxa" w:w="1417"/>
          </w:tcPr>
          <w:p>
            <w:r>
              <w:rPr>
                <w:b/>
              </w:rPr>
              <w:t>23.27</w:t>
            </w:r>
          </w:p>
        </w:tc>
        <w:tc>
          <w:tcPr>
            <w:tcW w:type="dxa" w:w="1417"/>
          </w:tcPr>
          <w:p>
            <w:r>
              <w:rPr>
                <w:b/>
              </w:rPr>
              <w:t>22.62</w:t>
            </w:r>
          </w:p>
        </w:tc>
      </w:tr>
      <w:tr>
        <w:tc>
          <w:tcPr>
            <w:tcW w:type="dxa" w:w="2268"/>
          </w:tcPr>
          <w:p>
            <w:r>
              <w:t>Macq True AREIT</w:t>
            </w:r>
          </w:p>
        </w:tc>
        <w:tc>
          <w:tcPr>
            <w:tcW w:type="dxa" w:w="1417"/>
          </w:tcPr>
          <w:p>
            <w:r>
              <w:t>4.1</w:t>
            </w:r>
          </w:p>
        </w:tc>
        <w:tc>
          <w:tcPr>
            <w:tcW w:type="dxa" w:w="1417"/>
          </w:tcPr>
          <w:p>
            <w:r>
              <w:t>23.67</w:t>
            </w:r>
          </w:p>
        </w:tc>
      </w:tr>
      <w:tr>
        <w:tc>
          <w:tcPr>
            <w:tcW w:type="dxa" w:w="2268"/>
          </w:tcPr>
          <w:p>
            <w:r>
              <w:rPr>
                <w:b/>
              </w:rPr>
              <w:t>BM: Real Assets</w:t>
            </w:r>
          </w:p>
        </w:tc>
        <w:tc>
          <w:tcPr>
            <w:tcW w:type="dxa" w:w="1417"/>
          </w:tcPr>
          <w:p>
            <w:r>
              <w:rPr>
                <w:b/>
              </w:rPr>
              <w:t>2.49</w:t>
            </w:r>
          </w:p>
        </w:tc>
        <w:tc>
          <w:tcPr>
            <w:tcW w:type="dxa" w:w="1417"/>
          </w:tcPr>
          <w:p>
            <w:r>
              <w:rPr>
                <w:b/>
              </w:rPr>
              <w:t>12.89</w:t>
            </w:r>
          </w:p>
        </w:tc>
      </w:tr>
      <w:tr>
        <w:tc>
          <w:tcPr>
            <w:tcW w:type="dxa" w:w="2268"/>
          </w:tcPr>
          <w:p>
            <w:r>
              <w:t>Macq True Aus FI</w:t>
            </w:r>
          </w:p>
        </w:tc>
        <w:tc>
          <w:tcPr>
            <w:tcW w:type="dxa" w:w="1417"/>
          </w:tcPr>
          <w:p>
            <w:r>
              <w:t>4.1</w:t>
            </w:r>
          </w:p>
        </w:tc>
        <w:tc>
          <w:tcPr>
            <w:tcW w:type="dxa" w:w="1417"/>
          </w:tcPr>
          <w:p>
            <w:r>
              <w:t>5.58</w:t>
            </w:r>
          </w:p>
        </w:tc>
      </w:tr>
      <w:tr>
        <w:tc>
          <w:tcPr>
            <w:tcW w:type="dxa" w:w="2268"/>
          </w:tcPr>
          <w:p>
            <w:r>
              <w:t>Macq True Glb Bonds</w:t>
            </w:r>
          </w:p>
        </w:tc>
        <w:tc>
          <w:tcPr>
            <w:tcW w:type="dxa" w:w="1417"/>
          </w:tcPr>
          <w:p>
            <w:r>
              <w:t>3.16</w:t>
            </w:r>
          </w:p>
        </w:tc>
        <w:tc>
          <w:tcPr>
            <w:tcW w:type="dxa" w:w="1417"/>
          </w:tcPr>
          <w:p>
            <w:r>
              <w:t>5.41</w:t>
            </w:r>
          </w:p>
        </w:tc>
      </w:tr>
      <w:tr>
        <w:tc>
          <w:tcPr>
            <w:tcW w:type="dxa" w:w="2268"/>
          </w:tcPr>
          <w:p>
            <w:r>
              <w:rPr>
                <w:b/>
              </w:rPr>
              <w:t>BM: Duration</w:t>
            </w:r>
          </w:p>
        </w:tc>
        <w:tc>
          <w:tcPr>
            <w:tcW w:type="dxa" w:w="1417"/>
          </w:tcPr>
          <w:p>
            <w:r>
              <w:rPr>
                <w:b/>
              </w:rPr>
              <w:t>3.16</w:t>
            </w:r>
          </w:p>
        </w:tc>
        <w:tc>
          <w:tcPr>
            <w:tcW w:type="dxa" w:w="1417"/>
          </w:tcPr>
          <w:p>
            <w:r>
              <w:rPr>
                <w:b/>
              </w:rPr>
              <w:t>5.49</w:t>
            </w:r>
          </w:p>
        </w:tc>
      </w:tr>
      <w:tr>
        <w:tc>
          <w:tcPr>
            <w:tcW w:type="dxa" w:w="2268"/>
          </w:tcPr>
          <w:p>
            <w:r>
              <w:t>Macq True Cash</w:t>
            </w:r>
          </w:p>
        </w:tc>
        <w:tc>
          <w:tcPr>
            <w:tcW w:type="dxa" w:w="1417"/>
          </w:tcPr>
          <w:p>
            <w:r>
              <w:t>4.18</w:t>
            </w:r>
          </w:p>
        </w:tc>
        <w:tc>
          <w:tcPr>
            <w:tcW w:type="dxa" w:w="1417"/>
          </w:tcPr>
          <w:p>
            <w:r>
              <w:t>4.29</w:t>
            </w:r>
          </w:p>
        </w:tc>
      </w:tr>
    </w:tbl>
    <w:p>
      <w:pPr>
        <w:pStyle w:val="Note"/>
      </w:pPr>
      <w:r>
        <w:t>Inception Date: 30 June 2022</w:t>
      </w:r>
    </w:p>
    <w:p>
      <w:pPr>
        <w:pStyle w:val="BodyStyle"/>
      </w:pPr>
      <w:r>
        <w:t>Underlying investment manager returns are shown after fees and before tax</w:t>
      </w:r>
    </w:p>
    <w:br w:type="column"/>
    <w:p>
      <w:pPr>
        <w:pStyle w:val="Heading20"/>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