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PMP Wealth Australian Equities Model</w:t>
      </w:r>
      <w:r>
        <w:tab/>
      </w:r>
      <w:r>
        <w:t>30 September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PMP_AusEq</w:t>
            </w:r>
          </w:p>
        </w:tc>
        <w:tc>
          <w:tcPr>
            <w:tcW w:type="dxa" w:w="1370"/>
          </w:tcPr>
          <w:p>
            <w:r>
              <w:rPr>
                <w:b/>
              </w:rPr>
              <w:t>6.78</w:t>
            </w:r>
          </w:p>
        </w:tc>
        <w:tc>
          <w:tcPr>
            <w:tcW w:type="dxa" w:w="1370"/>
          </w:tcPr>
          <w:p>
            <w:r>
              <w:rPr>
                <w:b/>
              </w:rPr>
              <w:t>16.01</w:t>
            </w:r>
          </w:p>
        </w:tc>
        <w:tc>
          <w:tcPr>
            <w:tcW w:type="dxa" w:w="1370"/>
          </w:tcPr>
          <w:p>
            <w:r>
              <w:rPr>
                <w:b/>
              </w:rPr>
              <w:t>13.25</w:t>
            </w:r>
          </w:p>
        </w:tc>
        <w:tc>
          <w:tcPr>
            <w:tcW w:type="dxa" w:w="1370"/>
          </w:tcPr>
          <w:p>
            <w:r>
              <w:rPr>
                <w:b/>
              </w:rPr>
              <w:t>17.97</w:t>
            </w:r>
          </w:p>
        </w:tc>
        <w:tc>
          <w:tcPr>
            <w:tcW w:type="dxa" w:w="1370"/>
          </w:tcPr>
          <w:p>
            <w:r>
              <w:rPr>
                <w:b/>
              </w:rPr>
              <w:t>16.71</w:t>
            </w:r>
          </w:p>
        </w:tc>
        <w:tc>
          <w:tcPr>
            <w:tcW w:type="dxa" w:w="1370"/>
          </w:tcPr>
          <w:p>
            <w:r>
              <w:rPr>
                <w:b/>
              </w:rPr>
              <w:t>12.36</w:t>
            </w:r>
          </w:p>
        </w:tc>
      </w:tr>
      <w:tr>
        <w:tc>
          <w:tcPr>
            <w:tcW w:type="dxa" w:w="2551"/>
          </w:tcPr>
          <w:p>
            <w:r>
              <w:t>Peer Group</w:t>
            </w:r>
          </w:p>
        </w:tc>
        <w:tc>
          <w:tcPr>
            <w:tcW w:type="dxa" w:w="1370"/>
          </w:tcPr>
          <w:p>
            <w:r>
              <w:t>3.97</w:t>
            </w:r>
          </w:p>
        </w:tc>
        <w:tc>
          <w:tcPr>
            <w:tcW w:type="dxa" w:w="1370"/>
          </w:tcPr>
          <w:p>
            <w:r>
              <w:t>12.25</w:t>
            </w:r>
          </w:p>
        </w:tc>
        <w:tc>
          <w:tcPr>
            <w:tcW w:type="dxa" w:w="1370"/>
          </w:tcPr>
          <w:p>
            <w:r>
              <w:t>7.16</w:t>
            </w:r>
          </w:p>
        </w:tc>
        <w:tc>
          <w:tcPr>
            <w:tcW w:type="dxa" w:w="1370"/>
          </w:tcPr>
          <w:p>
            <w:r>
              <w:t>12.52</w:t>
            </w:r>
          </w:p>
        </w:tc>
        <w:tc>
          <w:tcPr>
            <w:tcW w:type="dxa" w:w="1370"/>
          </w:tcPr>
          <w:p>
            <w:r>
              <w:t>11.81</w:t>
            </w:r>
          </w:p>
        </w:tc>
        <w:tc>
          <w:tcPr>
            <w:tcW w:type="dxa" w:w="1370"/>
          </w:tcPr>
          <w:p>
            <w:r>
              <w:t>9.71</w:t>
            </w:r>
          </w:p>
        </w:tc>
      </w:tr>
      <w:tr>
        <w:tc>
          <w:tcPr>
            <w:tcW w:type="dxa" w:w="2551"/>
          </w:tcPr>
          <w:p>
            <w:r>
              <w:t>Inflation</w:t>
            </w:r>
          </w:p>
        </w:tc>
        <w:tc>
          <w:tcPr>
            <w:tcW w:type="dxa" w:w="1370"/>
          </w:tcPr>
          <w:p>
            <w:r>
              <w:t>-0.01</w:t>
            </w:r>
          </w:p>
        </w:tc>
        <w:tc>
          <w:tcPr>
            <w:tcW w:type="dxa" w:w="1370"/>
          </w:tcPr>
          <w:p>
            <w:r>
              <w:t>1.34</w:t>
            </w:r>
          </w:p>
        </w:tc>
        <w:tc>
          <w:tcPr>
            <w:tcW w:type="dxa" w:w="1370"/>
          </w:tcPr>
          <w:p>
            <w:r>
              <w:t>2.05</w:t>
            </w:r>
          </w:p>
        </w:tc>
        <w:tc>
          <w:tcPr>
            <w:tcW w:type="dxa" w:w="1370"/>
          </w:tcPr>
          <w:p>
            <w:r>
              <w:t>2.08</w:t>
            </w:r>
          </w:p>
        </w:tc>
        <w:tc>
          <w:tcPr>
            <w:tcW w:type="dxa" w:w="1370"/>
          </w:tcPr>
          <w:p>
            <w:r>
              <w:t>3.24</w:t>
            </w:r>
          </w:p>
        </w:tc>
        <w:tc>
          <w:tcPr>
            <w:tcW w:type="dxa" w:w="1370"/>
          </w:tcPr>
          <w:p>
            <w:r>
              <w:t>3.18</w:t>
            </w:r>
          </w:p>
        </w:tc>
      </w:tr>
      <w:tr>
        <w:tc>
          <w:tcPr>
            <w:tcW w:type="dxa" w:w="2551"/>
          </w:tcPr>
          <w:p>
            <w:r>
              <w:t>Outperformance vs Peers</w:t>
            </w:r>
          </w:p>
        </w:tc>
        <w:tc>
          <w:tcPr>
            <w:tcW w:type="dxa" w:w="1370"/>
          </w:tcPr>
          <w:p>
            <w:r>
              <w:t>2.81</w:t>
            </w:r>
          </w:p>
        </w:tc>
        <w:tc>
          <w:tcPr>
            <w:tcW w:type="dxa" w:w="1370"/>
          </w:tcPr>
          <w:p>
            <w:r>
              <w:t>3.77</w:t>
            </w:r>
          </w:p>
        </w:tc>
        <w:tc>
          <w:tcPr>
            <w:tcW w:type="dxa" w:w="1370"/>
          </w:tcPr>
          <w:p>
            <w:r>
              <w:t>6.09</w:t>
            </w:r>
          </w:p>
        </w:tc>
        <w:tc>
          <w:tcPr>
            <w:tcW w:type="dxa" w:w="1370"/>
          </w:tcPr>
          <w:p>
            <w:r>
              <w:t>5.46</w:t>
            </w:r>
          </w:p>
        </w:tc>
        <w:tc>
          <w:tcPr>
            <w:tcW w:type="dxa" w:w="1370"/>
          </w:tcPr>
          <w:p>
            <w:r>
              <w:t>4.9</w:t>
            </w:r>
          </w:p>
        </w:tc>
        <w:tc>
          <w:tcPr>
            <w:tcW w:type="dxa" w:w="1370"/>
          </w:tcPr>
          <w:p>
            <w:r>
              <w:t>2.65</w:t>
            </w:r>
          </w:p>
        </w:tc>
      </w:tr>
      <w:tr>
        <w:tc>
          <w:tcPr>
            <w:tcW w:type="dxa" w:w="2551"/>
          </w:tcPr>
          <w:p>
            <w:r>
              <w:t>Outperformance vs Inflation</w:t>
            </w:r>
          </w:p>
        </w:tc>
        <w:tc>
          <w:tcPr>
            <w:tcW w:type="dxa" w:w="1370"/>
          </w:tcPr>
          <w:p>
            <w:r>
              <w:t>6.79</w:t>
            </w:r>
          </w:p>
        </w:tc>
        <w:tc>
          <w:tcPr>
            <w:tcW w:type="dxa" w:w="1370"/>
          </w:tcPr>
          <w:p>
            <w:r>
              <w:t>14.67</w:t>
            </w:r>
          </w:p>
        </w:tc>
        <w:tc>
          <w:tcPr>
            <w:tcW w:type="dxa" w:w="1370"/>
          </w:tcPr>
          <w:p>
            <w:r>
              <w:t>11.2</w:t>
            </w:r>
          </w:p>
        </w:tc>
        <w:tc>
          <w:tcPr>
            <w:tcW w:type="dxa" w:w="1370"/>
          </w:tcPr>
          <w:p>
            <w:r>
              <w:t>15.9</w:t>
            </w:r>
          </w:p>
        </w:tc>
        <w:tc>
          <w:tcPr>
            <w:tcW w:type="dxa" w:w="1370"/>
          </w:tcPr>
          <w:p>
            <w:r>
              <w:t>13.47</w:t>
            </w:r>
          </w:p>
        </w:tc>
        <w:tc>
          <w:tcPr>
            <w:tcW w:type="dxa" w:w="1370"/>
          </w:tcPr>
          <w:p>
            <w:r>
              <w:t>9.18</w:t>
            </w:r>
          </w:p>
        </w:tc>
      </w:tr>
    </w:tbl>
    <w:p>
      <w:pPr>
        <w:pStyle w:val="Note"/>
      </w:pPr>
      <w:r>
        <w:t>Inception Date: 31 December 2018</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Australian Shares</w:t>
            </w:r>
          </w:p>
        </w:tc>
      </w:tr>
      <w:tr>
        <w:tc>
          <w:tcPr>
            <w:tcW w:type="dxa" w:w="2268"/>
          </w:tcPr>
          <w:p>
            <w:r>
              <w:t>Strategy Provider</w:t>
            </w:r>
          </w:p>
        </w:tc>
        <w:tc>
          <w:tcPr>
            <w:tcW w:type="dxa" w:w="3118"/>
          </w:tcPr>
          <w:p>
            <w:r>
              <w:t>PMP</w:t>
            </w:r>
          </w:p>
        </w:tc>
      </w:tr>
      <w:tr>
        <w:tc>
          <w:tcPr>
            <w:tcW w:type="dxa" w:w="2268"/>
          </w:tcPr>
          <w:p>
            <w:r>
              <w:t>Benchmark</w:t>
            </w:r>
          </w:p>
        </w:tc>
        <w:tc>
          <w:tcPr>
            <w:tcW w:type="dxa" w:w="3118"/>
          </w:tcPr>
          <w:p>
            <w:r>
              <w:t>nan</w:t>
            </w:r>
          </w:p>
        </w:tc>
      </w:tr>
      <w:tr>
        <w:tc>
          <w:tcPr>
            <w:tcW w:type="dxa" w:w="2268"/>
          </w:tcPr>
          <w:p>
            <w:r>
              <w:t>Inception Date</w:t>
            </w:r>
          </w:p>
        </w:tc>
        <w:tc>
          <w:tcPr>
            <w:tcW w:type="dxa" w:w="3118"/>
          </w:tcPr>
          <w:p>
            <w:r>
              <w:t>31 December 2018</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a_IndustryOWUW.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Holding_Level_2.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3240000"/>
            <wp:docPr id="5" name="Picture 5"/>
            <wp:cNvGraphicFramePr>
              <a:graphicFrameLocks noChangeAspect="1"/>
            </wp:cNvGraphicFramePr>
            <a:graphic>
              <a:graphicData uri="http://schemas.openxmlformats.org/drawingml/2006/picture">
                <pic:pic>
                  <pic:nvPicPr>
                    <pic:cNvPr id="0" name="6_AusEq_MthCorrel.png"/>
                    <pic:cNvPicPr/>
                  </pic:nvPicPr>
                  <pic:blipFill>
                    <a:blip r:embed="rId23"/>
                    <a:stretch>
                      <a:fillRect/>
                    </a:stretch>
                  </pic:blipFill>
                  <pic:spPr>
                    <a:xfrm>
                      <a:off x="0" y="0"/>
                      <a:ext cx="3240000" cy="3240000"/>
                    </a:xfrm>
                    <a:prstGeom prst="rect"/>
                  </pic:spPr>
                </pic:pic>
              </a:graphicData>
            </a:graphic>
          </wp:inline>
        </w:drawing>
      </w:r>
    </w:p>
    <w:br w:type="column"/>
    <w:p>
      <w:pPr>
        <w:pStyle w:val="Heading3"/>
      </w:pPr>
      <w:r>
        <w:t>Underlying Manager Performance</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6_AusEq_Sleeve_Components.png"/>
                    <pic:cNvPicPr/>
                  </pic:nvPicPr>
                  <pic:blipFill>
                    <a:blip r:embed="rId24"/>
                    <a:stretch>
                      <a:fillRect/>
                    </a:stretch>
                  </pic:blipFill>
                  <pic:spPr>
                    <a:xfrm>
                      <a:off x="0" y="0"/>
                      <a:ext cx="3240000" cy="2880000"/>
                    </a:xfrm>
                    <a:prstGeom prst="rect"/>
                  </pic:spPr>
                </pic:pic>
              </a:graphicData>
            </a:graphic>
          </wp:inline>
        </w:drawing>
      </w:r>
    </w:p>
    <w:p>
      <w:pPr>
        <w:pStyle w:val="BodyStyle"/>
      </w:pPr>
      <w:r>
        <w:t xml:space="preserve"> </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Merlon Concentrated AusEq</w:t>
            </w:r>
          </w:p>
        </w:tc>
        <w:tc>
          <w:tcPr>
            <w:tcW w:type="dxa" w:w="1417"/>
          </w:tcPr>
          <w:p>
            <w:r>
              <w:t>6.75</w:t>
            </w:r>
          </w:p>
        </w:tc>
        <w:tc>
          <w:tcPr>
            <w:tcW w:type="dxa" w:w="1417"/>
          </w:tcPr>
          <w:p>
            <w:r>
              <w:t>12.48</w:t>
            </w:r>
          </w:p>
        </w:tc>
      </w:tr>
      <w:tr>
        <w:tc>
          <w:tcPr>
            <w:tcW w:type="dxa" w:w="2268"/>
          </w:tcPr>
          <w:p>
            <w:r>
              <w:t>Ausbil Aus Small</w:t>
            </w:r>
          </w:p>
        </w:tc>
        <w:tc>
          <w:tcPr>
            <w:tcW w:type="dxa" w:w="1417"/>
          </w:tcPr>
          <w:p>
            <w:r>
              <w:t>41.84</w:t>
            </w:r>
          </w:p>
        </w:tc>
        <w:tc>
          <w:tcPr>
            <w:tcW w:type="dxa" w:w="1417"/>
          </w:tcPr>
          <w:p>
            <w:r>
              <w:t>37.12</w:t>
            </w:r>
          </w:p>
        </w:tc>
      </w:tr>
      <w:tr>
        <w:tc>
          <w:tcPr>
            <w:tcW w:type="dxa" w:w="2268"/>
          </w:tcPr>
          <w:p>
            <w:r>
              <w:t>Greencape High Convic</w:t>
            </w:r>
          </w:p>
        </w:tc>
        <w:tc>
          <w:tcPr>
            <w:tcW w:type="dxa" w:w="1417"/>
          </w:tcPr>
          <w:p>
            <w:r>
              <w:t>2.12</w:t>
            </w:r>
          </w:p>
        </w:tc>
        <w:tc>
          <w:tcPr>
            <w:tcW w:type="dxa" w:w="1417"/>
          </w:tcPr>
          <w:p>
            <w:r>
              <w:t>13.14</w:t>
            </w:r>
          </w:p>
        </w:tc>
      </w:tr>
      <w:tr>
        <w:tc>
          <w:tcPr>
            <w:tcW w:type="dxa" w:w="2268"/>
          </w:tcPr>
          <w:p>
            <w:r>
              <w:t>Yarra ex-20 AE</w:t>
            </w:r>
          </w:p>
        </w:tc>
        <w:tc>
          <w:tcPr>
            <w:tcW w:type="dxa" w:w="1417"/>
          </w:tcPr>
          <w:p>
            <w:r>
              <w:t>11.96</w:t>
            </w:r>
          </w:p>
        </w:tc>
        <w:tc>
          <w:tcPr>
            <w:tcW w:type="dxa" w:w="1417"/>
          </w:tcPr>
          <w:p>
            <w:r>
              <w:t>15.65</w:t>
            </w:r>
          </w:p>
        </w:tc>
      </w:tr>
      <w:tr>
        <w:tc>
          <w:tcPr>
            <w:tcW w:type="dxa" w:w="2268"/>
          </w:tcPr>
          <w:p>
            <w:r>
              <w:t>VG Aus Shares</w:t>
            </w:r>
          </w:p>
        </w:tc>
        <w:tc>
          <w:tcPr>
            <w:tcW w:type="dxa" w:w="1417"/>
          </w:tcPr>
          <w:p>
            <w:r>
              <w:t>10.65</w:t>
            </w:r>
          </w:p>
        </w:tc>
        <w:tc>
          <w:tcPr>
            <w:tcW w:type="dxa" w:w="1417"/>
          </w:tcPr>
          <w:p>
            <w:r>
              <w:t>15.94</w:t>
            </w:r>
          </w:p>
        </w:tc>
      </w:tr>
      <w:tr>
        <w:tc>
          <w:tcPr>
            <w:tcW w:type="dxa" w:w="2268"/>
          </w:tcPr>
          <w:p>
            <w:r>
              <w:rPr>
                <w:b/>
              </w:rPr>
              <w:t>BM: Australian Shares</w:t>
            </w:r>
          </w:p>
        </w:tc>
        <w:tc>
          <w:tcPr>
            <w:tcW w:type="dxa" w:w="1417"/>
          </w:tcPr>
          <w:p>
            <w:r>
              <w:rPr>
                <w:b/>
              </w:rPr>
              <w:t>10.49</w:t>
            </w:r>
          </w:p>
        </w:tc>
        <w:tc>
          <w:tcPr>
            <w:tcW w:type="dxa" w:w="1417"/>
          </w:tcPr>
          <w:p>
            <w:r>
              <w:rPr>
                <w:b/>
              </w:rPr>
              <w:t>15.89</w:t>
            </w:r>
          </w:p>
        </w:tc>
      </w:tr>
    </w:tbl>
    <w:p>
      <w:pPr>
        <w:pStyle w:val="Note"/>
      </w:pPr>
      <w:r>
        <w:t>Inception Date: 31 December 2018</w:t>
      </w:r>
    </w:p>
    <w:p>
      <w:pPr>
        <w:pStyle w:val="BodyStyle"/>
      </w:pPr>
      <w:r>
        <w:t>Underlying investment manager returns are shown after fees and before tax</w:t>
      </w:r>
    </w:p>
    <w:br w:type="column"/>
    <w:p>
      <w:pPr>
        <w:pStyle w:val="Heading2"/>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EC47" w14:textId="77777777" w:rsidR="00F22A97" w:rsidRDefault="00F22A97" w:rsidP="007B4373">
      <w:r>
        <w:separator/>
      </w:r>
    </w:p>
  </w:endnote>
  <w:endnote w:type="continuationSeparator" w:id="0">
    <w:p w14:paraId="3D5A6E1D" w14:textId="77777777" w:rsidR="00F22A97" w:rsidRDefault="00F22A97"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0E35" w14:textId="77777777" w:rsidR="00F22A97" w:rsidRDefault="00F22A97" w:rsidP="007B4373">
      <w:r>
        <w:separator/>
      </w:r>
    </w:p>
  </w:footnote>
  <w:footnote w:type="continuationSeparator" w:id="0">
    <w:p w14:paraId="664771E1" w14:textId="77777777" w:rsidR="00F22A97" w:rsidRDefault="00F22A97"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BC4145"/>
    <w:pPr>
      <w:numPr>
        <w:numId w:val="0"/>
      </w:numPr>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C22003"/>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159</cp:revision>
  <cp:lastPrinted>2022-04-29T02:04:00Z</cp:lastPrinted>
  <dcterms:created xsi:type="dcterms:W3CDTF">2022-07-06T04:09:00Z</dcterms:created>
  <dcterms:modified xsi:type="dcterms:W3CDTF">2025-02-05T23:41:00Z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