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9ECC" w14:textId="77777777" w:rsidR="005E14BC" w:rsidRPr="001C33C8" w:rsidRDefault="005E14BC" w:rsidP="001C33C8"/>
    <w:p>
      <w:pPr>
        <w:pStyle w:val="Heading10"/>
        <w:tabs>
          <w:tab w:pos="10772" w:val="right"/>
        </w:tabs>
      </w:pPr>
      <w:r>
        <w:t>Euree Balanced Portfolio</w:t>
      </w:r>
      <w:r>
        <w:tab/>
      </w:r>
      <w:r>
        <w:t>20 February 2026</w:t>
      </w:r>
    </w:p>
    <w:tbl>
      <w:tblPr>
        <w:tblStyle w:val="AtchisonTable1"/>
        <w:tblW w:type="auto" w:w="0"/>
        <w:tblLook w:firstColumn="1" w:firstRow="1" w:lastColumn="0" w:lastRow="0" w:noHBand="0" w:noVBand="1" w:val="04A0"/>
      </w:tblPr>
      <w:tblGrid>
        <w:gridCol w:w="1842"/>
        <w:gridCol w:w="1842"/>
        <w:gridCol w:w="1842"/>
        <w:gridCol w:w="1842"/>
        <w:gridCol w:w="1842"/>
        <w:gridCol w:w="1842"/>
      </w:tblGrid>
      <w:tr>
        <w:tc>
          <w:tcPr>
            <w:tcW w:type="dxa" w:w="2551"/>
          </w:tcPr>
          <w:p/>
        </w:tc>
        <w:tc>
          <w:tcPr>
            <w:tcW w:type="dxa" w:w="1644"/>
          </w:tcPr>
          <w:p>
            <w:r>
              <w:t>3 Months</w:t>
            </w:r>
          </w:p>
        </w:tc>
        <w:tc>
          <w:tcPr>
            <w:tcW w:type="dxa" w:w="1644"/>
          </w:tcPr>
          <w:p>
            <w:r>
              <w:t>6 Months</w:t>
            </w:r>
          </w:p>
        </w:tc>
        <w:tc>
          <w:tcPr>
            <w:tcW w:type="dxa" w:w="1644"/>
          </w:tcPr>
          <w:p>
            <w:r>
              <w:t>1 Year</w:t>
            </w:r>
          </w:p>
        </w:tc>
        <w:tc>
          <w:tcPr>
            <w:tcW w:type="dxa" w:w="1644"/>
          </w:tcPr>
          <w:p>
            <w:r>
              <w:t>2 Years (p.a.)</w:t>
            </w:r>
          </w:p>
        </w:tc>
        <w:tc>
          <w:tcPr>
            <w:tcW w:type="dxa" w:w="1644"/>
          </w:tcPr>
          <w:p>
            <w:r>
              <w:t>Since Inception (p.a.)</w:t>
            </w:r>
          </w:p>
        </w:tc>
      </w:tr>
      <w:tr>
        <w:tc>
          <w:tcPr>
            <w:tcW w:type="dxa" w:w="2551"/>
          </w:tcPr>
          <w:p>
            <w:r>
              <w:t>Euree_Balanced</w:t>
            </w:r>
          </w:p>
        </w:tc>
        <w:tc>
          <w:tcPr>
            <w:tcW w:type="dxa" w:w="1644"/>
          </w:tcPr>
          <w:p>
            <w:r>
              <w:rPr>
                <w:b/>
              </w:rPr>
              <w:t>0.64</w:t>
            </w:r>
          </w:p>
        </w:tc>
        <w:tc>
          <w:tcPr>
            <w:tcW w:type="dxa" w:w="1644"/>
          </w:tcPr>
          <w:p>
            <w:r>
              <w:rPr>
                <w:b/>
              </w:rPr>
              <w:t>3.63</w:t>
            </w:r>
          </w:p>
        </w:tc>
        <w:tc>
          <w:tcPr>
            <w:tcW w:type="dxa" w:w="1644"/>
          </w:tcPr>
          <w:p>
            <w:r>
              <w:rPr>
                <w:b/>
              </w:rPr>
              <w:t>8.21</w:t>
            </w:r>
          </w:p>
        </w:tc>
        <w:tc>
          <w:tcPr>
            <w:tcW w:type="dxa" w:w="1644"/>
          </w:tcPr>
          <w:p>
            <w:r>
              <w:rPr>
                <w:b/>
              </w:rPr>
              <w:t>10.52</w:t>
            </w:r>
          </w:p>
        </w:tc>
        <w:tc>
          <w:tcPr>
            <w:tcW w:type="dxa" w:w="1644"/>
          </w:tcPr>
          <w:p>
            <w:r>
              <w:rPr>
                <w:b/>
              </w:rPr>
              <w:t>11.06</w:t>
            </w:r>
          </w:p>
        </w:tc>
      </w:tr>
      <w:tr>
        <w:tc>
          <w:tcPr>
            <w:tcW w:type="dxa" w:w="2551"/>
          </w:tcPr>
          <w:p>
            <w:r>
              <w:t>Peer Group</w:t>
            </w:r>
          </w:p>
        </w:tc>
        <w:tc>
          <w:tcPr>
            <w:tcW w:type="dxa" w:w="1644"/>
          </w:tcPr>
          <w:p>
            <w:r>
              <w:t>0.18</w:t>
            </w:r>
          </w:p>
        </w:tc>
        <w:tc>
          <w:tcPr>
            <w:tcW w:type="dxa" w:w="1644"/>
          </w:tcPr>
          <w:p>
            <w:r>
              <w:t>3.86</w:t>
            </w:r>
          </w:p>
        </w:tc>
        <w:tc>
          <w:tcPr>
            <w:tcW w:type="dxa" w:w="1644"/>
          </w:tcPr>
          <w:p>
            <w:r>
              <w:t>6.83</w:t>
            </w:r>
          </w:p>
        </w:tc>
        <w:tc>
          <w:tcPr>
            <w:tcW w:type="dxa" w:w="1644"/>
          </w:tcPr>
          <w:p>
            <w:r>
              <w:t>8.5</w:t>
            </w:r>
          </w:p>
        </w:tc>
        <w:tc>
          <w:tcPr>
            <w:tcW w:type="dxa" w:w="1644"/>
          </w:tcPr>
          <w:p>
            <w:r>
              <w:t>9.09</w:t>
            </w:r>
          </w:p>
        </w:tc>
      </w:tr>
      <w:tr>
        <w:tc>
          <w:tcPr>
            <w:tcW w:type="dxa" w:w="2551"/>
          </w:tcPr>
          <w:p>
            <w:r>
              <w:t>Inflation</w:t>
            </w:r>
          </w:p>
        </w:tc>
        <w:tc>
          <w:tcPr>
            <w:tcW w:type="dxa" w:w="1644"/>
          </w:tcPr>
          <w:p>
            <w:r>
              <w:t>1.26</w:t>
            </w:r>
          </w:p>
        </w:tc>
        <w:tc>
          <w:tcPr>
            <w:tcW w:type="dxa" w:w="1644"/>
          </w:tcPr>
          <w:p>
            <w:r>
              <w:t>3.2</w:t>
            </w:r>
          </w:p>
        </w:tc>
        <w:tc>
          <w:tcPr>
            <w:tcW w:type="dxa" w:w="1644"/>
          </w:tcPr>
          <w:p>
            <w:r>
              <w:t>6.53</w:t>
            </w:r>
          </w:p>
        </w:tc>
        <w:tc>
          <w:tcPr>
            <w:tcW w:type="dxa" w:w="1644"/>
          </w:tcPr>
          <w:p>
            <w:r>
              <w:t>6.05</w:t>
            </w:r>
          </w:p>
        </w:tc>
        <w:tc>
          <w:tcPr>
            <w:tcW w:type="dxa" w:w="1644"/>
          </w:tcPr>
          <w:p>
            <w:r>
              <w:t>6.47</w:t>
            </w:r>
          </w:p>
        </w:tc>
      </w:tr>
      <w:tr>
        <w:tc>
          <w:tcPr>
            <w:tcW w:type="dxa" w:w="2551"/>
          </w:tcPr>
          <w:p>
            <w:r>
              <w:t>Outperformance vs Peers</w:t>
            </w:r>
          </w:p>
        </w:tc>
        <w:tc>
          <w:tcPr>
            <w:tcW w:type="dxa" w:w="1644"/>
          </w:tcPr>
          <w:p>
            <w:r>
              <w:t>0.46</w:t>
            </w:r>
          </w:p>
        </w:tc>
        <w:tc>
          <w:tcPr>
            <w:tcW w:type="dxa" w:w="1644"/>
          </w:tcPr>
          <w:p>
            <w:r>
              <w:t>-0.22</w:t>
            </w:r>
          </w:p>
        </w:tc>
        <w:tc>
          <w:tcPr>
            <w:tcW w:type="dxa" w:w="1644"/>
          </w:tcPr>
          <w:p>
            <w:r>
              <w:t>1.38</w:t>
            </w:r>
          </w:p>
        </w:tc>
        <w:tc>
          <w:tcPr>
            <w:tcW w:type="dxa" w:w="1644"/>
          </w:tcPr>
          <w:p>
            <w:r>
              <w:t>2.02</w:t>
            </w:r>
          </w:p>
        </w:tc>
        <w:tc>
          <w:tcPr>
            <w:tcW w:type="dxa" w:w="1644"/>
          </w:tcPr>
          <w:p>
            <w:r>
              <w:t>1.97</w:t>
            </w:r>
          </w:p>
        </w:tc>
      </w:tr>
      <w:tr>
        <w:tc>
          <w:tcPr>
            <w:tcW w:type="dxa" w:w="2551"/>
          </w:tcPr>
          <w:p>
            <w:r>
              <w:t>Outperformance vs Inflation</w:t>
            </w:r>
          </w:p>
        </w:tc>
        <w:tc>
          <w:tcPr>
            <w:tcW w:type="dxa" w:w="1644"/>
          </w:tcPr>
          <w:p>
            <w:r>
              <w:t>-0.62</w:t>
            </w:r>
          </w:p>
        </w:tc>
        <w:tc>
          <w:tcPr>
            <w:tcW w:type="dxa" w:w="1644"/>
          </w:tcPr>
          <w:p>
            <w:r>
              <w:t>0.43</w:t>
            </w:r>
          </w:p>
        </w:tc>
        <w:tc>
          <w:tcPr>
            <w:tcW w:type="dxa" w:w="1644"/>
          </w:tcPr>
          <w:p>
            <w:r>
              <w:t>1.68</w:t>
            </w:r>
          </w:p>
        </w:tc>
        <w:tc>
          <w:tcPr>
            <w:tcW w:type="dxa" w:w="1644"/>
          </w:tcPr>
          <w:p>
            <w:r>
              <w:t>4.47</w:t>
            </w:r>
          </w:p>
        </w:tc>
        <w:tc>
          <w:tcPr>
            <w:tcW w:type="dxa" w:w="1644"/>
          </w:tcPr>
          <w:p>
            <w:r>
              <w:t>4.59</w:t>
            </w:r>
          </w:p>
        </w:tc>
      </w:tr>
    </w:tbl>
    <w:p>
      <w:pPr>
        <w:pStyle w:val="Note"/>
      </w:pPr>
      <w:r>
        <w:t>Inception Date: 22 August 2023</w:t>
      </w:r>
    </w:p>
    <w:p>
      <w:pPr>
        <w:sectPr>
          <w:headerReference w:type="default" r:id="rId11"/>
          <w:footerReference w:type="default" r:id="rId12"/>
          <w:headerReference w:type="first" r:id="rId13"/>
          <w:footerReference w:type="first" r:id="rId14"/>
          <w:type w:val="continuous"/>
          <w:pgSz w:w="11900" w:h="16840" w:code="9"/>
          <w:pgMar w:top="0" w:right="420" w:bottom="0" w:left="425" w:header="0" w:footer="451" w:gutter="0"/>
          <w:cols w:space="284"/>
          <w:docGrid w:linePitch="360"/>
        </w:sectPr>
      </w:pPr>
    </w:p>
    <w:p>
      <w:pPr>
        <w:pStyle w:val="Heading20"/>
      </w:pPr>
      <w:r>
        <w:t>Investment Objective</w:t>
      </w:r>
    </w:p>
    <w:p>
      <w:pPr>
        <w:pStyle w:val="BodyStyle"/>
      </w:pPr>
      <w:r>
        <w:t>The Fund will invest in a mixture of asset classes to form a multi-asset portfolio with the aim to earn Investors a return of CPI +3% p.a. after management fees (before performance fees) and before tax, over rolling 7-year periods.</w:t>
      </w:r>
    </w:p>
    <w:p>
      <w:pPr>
        <w:pStyle w:val="Heading20"/>
      </w:pPr>
      <w:r>
        <w:t>Strategy Overview</w:t>
      </w:r>
    </w:p>
    <w:p>
      <w:pPr>
        <w:pStyle w:val="BodyStyle"/>
      </w:pPr>
      <w:r>
        <w:t>The Fund will use a combination of strategic asset allocation taking into account long term projections on asset class performance, short term dynamic asset allocation tilts,and passive and active investment managment to provide returns and mitigate risk in the medium term.</w:t>
      </w:r>
    </w:p>
    <w:tbl>
      <w:tblPr>
        <w:tblStyle w:val="AtchisonTable1"/>
        <w:tblW w:type="auto" w:w="0"/>
        <w:tblLook w:firstColumn="1" w:firstRow="1" w:lastColumn="0" w:lastRow="0" w:noHBand="0" w:noVBand="1" w:val="04A0"/>
      </w:tblPr>
      <w:tblGrid>
        <w:gridCol w:w="5527"/>
        <w:gridCol w:w="5527"/>
      </w:tblGrid>
      <w:tr>
        <w:tc>
          <w:tcPr>
            <w:tcW w:type="dxa" w:w="2268"/>
          </w:tcPr>
          <w:p>
            <w:r>
              <w:t>Key Details</w:t>
            </w:r>
          </w:p>
        </w:tc>
        <w:tc>
          <w:tcPr>
            <w:tcW w:type="dxa" w:w="3118"/>
          </w:tcPr>
          <w:p>
            <w:r/>
          </w:p>
        </w:tc>
      </w:tr>
      <w:tr>
        <w:tc>
          <w:tcPr>
            <w:tcW w:type="dxa" w:w="2268"/>
          </w:tcPr>
          <w:p>
            <w:r>
              <w:t>Strategy Category</w:t>
            </w:r>
          </w:p>
        </w:tc>
        <w:tc>
          <w:tcPr>
            <w:tcW w:type="dxa" w:w="3118"/>
          </w:tcPr>
          <w:p>
            <w:r>
              <w:t>Multi Asset</w:t>
            </w:r>
          </w:p>
        </w:tc>
      </w:tr>
      <w:tr>
        <w:tc>
          <w:tcPr>
            <w:tcW w:type="dxa" w:w="2268"/>
          </w:tcPr>
          <w:p>
            <w:r>
              <w:t>Strategy Provider</w:t>
            </w:r>
          </w:p>
        </w:tc>
        <w:tc>
          <w:tcPr>
            <w:tcW w:type="dxa" w:w="3118"/>
          </w:tcPr>
          <w:p>
            <w:r>
              <w:t>Euree</w:t>
            </w:r>
          </w:p>
        </w:tc>
      </w:tr>
      <w:tr>
        <w:tc>
          <w:tcPr>
            <w:tcW w:type="dxa" w:w="2268"/>
          </w:tcPr>
          <w:p>
            <w:r>
              <w:t>Benchmark</w:t>
            </w:r>
          </w:p>
        </w:tc>
        <w:tc>
          <w:tcPr>
            <w:tcW w:type="dxa" w:w="3118"/>
          </w:tcPr>
          <w:p>
            <w:r>
              <w:t>The Fund will invest in a mixture of asset classes to form a multi-asset portfolio with the aim to earn Investors a return of CPI +3% p.a. after management fees (before performance fees) and before tax, over rolling 7-year periods.</w:t>
            </w:r>
          </w:p>
        </w:tc>
      </w:tr>
      <w:tr>
        <w:tc>
          <w:tcPr>
            <w:tcW w:type="dxa" w:w="2268"/>
          </w:tcPr>
          <w:p>
            <w:r>
              <w:t>Inception Date</w:t>
            </w:r>
          </w:p>
        </w:tc>
        <w:tc>
          <w:tcPr>
            <w:tcW w:type="dxa" w:w="3118"/>
          </w:tcPr>
          <w:p>
            <w:r>
              <w:t>22 August 2023</w:t>
            </w:r>
          </w:p>
        </w:tc>
      </w:tr>
      <w:tr>
        <w:tc>
          <w:tcPr>
            <w:tcW w:type="dxa" w:w="2268"/>
          </w:tcPr>
          <w:p>
            <w:r>
              <w:t>Investment Horizon</w:t>
            </w:r>
          </w:p>
        </w:tc>
        <w:tc>
          <w:tcPr>
            <w:tcW w:type="dxa" w:w="3118"/>
          </w:tcPr>
          <w:p>
            <w:r>
              <w:t>7 Years</w:t>
            </w:r>
          </w:p>
        </w:tc>
      </w:tr>
      <w:tr>
        <w:tc>
          <w:tcPr>
            <w:tcW w:type="dxa" w:w="2268"/>
          </w:tcPr>
          <w:p>
            <w:r>
              <w:t>Risk Level (SRM)</w:t>
            </w:r>
          </w:p>
        </w:tc>
        <w:tc>
          <w:tcPr>
            <w:tcW w:type="dxa" w:w="3118"/>
          </w:tcPr>
          <w:p>
            <w:r>
              <w:t>Medium to High</w:t>
            </w:r>
          </w:p>
        </w:tc>
      </w:tr>
      <w:tr>
        <w:tc>
          <w:tcPr>
            <w:tcW w:type="dxa" w:w="2268"/>
          </w:tcPr>
          <w:p>
            <w:r>
              <w:t>Min Investment</w:t>
            </w:r>
          </w:p>
        </w:tc>
        <w:tc>
          <w:tcPr>
            <w:tcW w:type="dxa" w:w="3118"/>
          </w:tcPr>
          <w:p>
            <w:r>
              <w:t>10k</w:t>
            </w:r>
          </w:p>
        </w:tc>
      </w:tr>
      <w:tr>
        <w:tc>
          <w:tcPr>
            <w:tcW w:type="dxa" w:w="2268"/>
          </w:tcPr>
          <w:p>
            <w:r>
              <w:t>Product Fee</w:t>
            </w:r>
          </w:p>
        </w:tc>
        <w:tc>
          <w:tcPr>
            <w:tcW w:type="dxa" w:w="3118"/>
          </w:tcPr>
          <w:p>
            <w:r>
              <w:t>nan</w:t>
            </w:r>
          </w:p>
        </w:tc>
      </w:tr>
      <w:tr>
        <w:tc>
          <w:tcPr>
            <w:tcW w:type="dxa" w:w="2268"/>
          </w:tcPr>
          <w:p>
            <w:r>
              <w:t>Underlying MER</w:t>
            </w:r>
          </w:p>
        </w:tc>
        <w:tc>
          <w:tcPr>
            <w:tcW w:type="dxa" w:w="3118"/>
          </w:tcPr>
          <w:p>
            <w:r>
              <w:t>0.95%</w:t>
            </w:r>
          </w:p>
        </w:tc>
      </w:tr>
      <w:tr>
        <w:tc>
          <w:tcPr>
            <w:tcW w:type="dxa" w:w="2268"/>
          </w:tcPr>
          <w:p>
            <w:r>
              <w:t>Underlying Perf Fees</w:t>
            </w:r>
          </w:p>
        </w:tc>
        <w:tc>
          <w:tcPr>
            <w:tcW w:type="dxa" w:w="3118"/>
          </w:tcPr>
          <w:p>
            <w:r>
              <w:t>nan</w:t>
            </w:r>
          </w:p>
        </w:tc>
      </w:tr>
    </w:tbl>
    <w:p>
      <w:pPr>
        <w:pStyle w:val="Heading30"/>
      </w:pPr>
      <w:r>
        <w:t>Top 10 Share Exposures</w:t>
      </w:r>
    </w:p>
    <w:tbl>
      <w:tblPr>
        <w:tblStyle w:val="AtchisonTable1"/>
        <w:tblW w:type="auto" w:w="0"/>
        <w:tblLook w:firstColumn="1" w:firstRow="1" w:lastColumn="0" w:lastRow="0" w:noHBand="0" w:noVBand="1" w:val="04A0"/>
      </w:tblPr>
      <w:tblGrid>
        <w:gridCol w:w="5527"/>
        <w:gridCol w:w="5527"/>
      </w:tblGrid>
      <w:tr>
        <w:tc>
          <w:tcPr>
            <w:tcW w:type="dxa" w:w="1417"/>
          </w:tcPr>
          <w:p>
            <w:r>
              <w:rPr>
                <w:b/>
              </w:rPr>
              <w:t>Code</w:t>
            </w:r>
          </w:p>
        </w:tc>
        <w:tc>
          <w:tcPr>
            <w:tcW w:type="dxa" w:w="3685"/>
          </w:tcPr>
          <w:p>
            <w:r>
              <w:rPr>
                <w:b/>
              </w:rPr>
              <w:t>Name</w:t>
            </w:r>
          </w:p>
        </w:tc>
      </w:tr>
      <w:tr>
        <w:tc>
          <w:tcPr>
            <w:tcW w:type="dxa" w:w="1417"/>
          </w:tcPr>
          <w:p>
            <w:r>
              <w:t>QRI-AU</w:t>
            </w:r>
          </w:p>
        </w:tc>
        <w:tc>
          <w:tcPr>
            <w:tcW w:type="dxa" w:w="3685"/>
          </w:tcPr>
          <w:p>
            <w:r>
              <w:t>Qualitas Real Estate Income Fund</w:t>
            </w:r>
          </w:p>
        </w:tc>
      </w:tr>
      <w:tr>
        <w:tc>
          <w:tcPr>
            <w:tcW w:type="dxa" w:w="1417"/>
          </w:tcPr>
          <w:p>
            <w:r>
              <w:t>BHP-AU</w:t>
            </w:r>
          </w:p>
        </w:tc>
        <w:tc>
          <w:tcPr>
            <w:tcW w:type="dxa" w:w="3685"/>
          </w:tcPr>
          <w:p>
            <w:r>
              <w:t>BHP Group Limited</w:t>
            </w:r>
          </w:p>
        </w:tc>
      </w:tr>
      <w:tr>
        <w:tc>
          <w:tcPr>
            <w:tcW w:type="dxa" w:w="1417"/>
          </w:tcPr>
          <w:p>
            <w:r>
              <w:t>CBA-AU</w:t>
            </w:r>
          </w:p>
        </w:tc>
        <w:tc>
          <w:tcPr>
            <w:tcW w:type="dxa" w:w="3685"/>
          </w:tcPr>
          <w:p>
            <w:r>
              <w:t>Commonwealth Bank of Australia</w:t>
            </w:r>
          </w:p>
        </w:tc>
      </w:tr>
      <w:tr>
        <w:tc>
          <w:tcPr>
            <w:tcW w:type="dxa" w:w="1417"/>
          </w:tcPr>
          <w:p>
            <w:r>
              <w:t>NAB-AU</w:t>
            </w:r>
          </w:p>
        </w:tc>
        <w:tc>
          <w:tcPr>
            <w:tcW w:type="dxa" w:w="3685"/>
          </w:tcPr>
          <w:p>
            <w:r>
              <w:t>National Australia Bank Limited</w:t>
            </w:r>
          </w:p>
        </w:tc>
      </w:tr>
      <w:tr>
        <w:tc>
          <w:tcPr>
            <w:tcW w:type="dxa" w:w="1417"/>
          </w:tcPr>
          <w:p>
            <w:r>
              <w:t>ANZ-AU</w:t>
            </w:r>
          </w:p>
        </w:tc>
        <w:tc>
          <w:tcPr>
            <w:tcW w:type="dxa" w:w="3685"/>
          </w:tcPr>
          <w:p>
            <w:r>
              <w:t>ANZ Group Holdings Limited</w:t>
            </w:r>
          </w:p>
        </w:tc>
      </w:tr>
      <w:tr>
        <w:tc>
          <w:tcPr>
            <w:tcW w:type="dxa" w:w="1417"/>
          </w:tcPr>
          <w:p>
            <w:r>
              <w:t>WBC-AU</w:t>
            </w:r>
          </w:p>
        </w:tc>
        <w:tc>
          <w:tcPr>
            <w:tcW w:type="dxa" w:w="3685"/>
          </w:tcPr>
          <w:p>
            <w:r>
              <w:t>Westpac Banking Corporation</w:t>
            </w:r>
          </w:p>
        </w:tc>
      </w:tr>
      <w:tr>
        <w:tc>
          <w:tcPr>
            <w:tcW w:type="dxa" w:w="1417"/>
          </w:tcPr>
          <w:p>
            <w:r>
              <w:t>CSL-AU</w:t>
            </w:r>
          </w:p>
        </w:tc>
        <w:tc>
          <w:tcPr>
            <w:tcW w:type="dxa" w:w="3685"/>
          </w:tcPr>
          <w:p>
            <w:r>
              <w:t>CSL Limited</w:t>
            </w:r>
          </w:p>
        </w:tc>
      </w:tr>
      <w:tr>
        <w:tc>
          <w:tcPr>
            <w:tcW w:type="dxa" w:w="1417"/>
          </w:tcPr>
          <w:p>
            <w:r>
              <w:t>WDS-AU</w:t>
            </w:r>
          </w:p>
        </w:tc>
        <w:tc>
          <w:tcPr>
            <w:tcW w:type="dxa" w:w="3685"/>
          </w:tcPr>
          <w:p>
            <w:r>
              <w:t>Woodside Energy Group Ltd</w:t>
            </w:r>
          </w:p>
        </w:tc>
      </w:tr>
      <w:tr>
        <w:tc>
          <w:tcPr>
            <w:tcW w:type="dxa" w:w="1417"/>
          </w:tcPr>
          <w:p>
            <w:r>
              <w:t>WES-AU</w:t>
            </w:r>
          </w:p>
        </w:tc>
        <w:tc>
          <w:tcPr>
            <w:tcW w:type="dxa" w:w="3685"/>
          </w:tcPr>
          <w:p>
            <w:r>
              <w:t>Wesfarmers Limited</w:t>
            </w:r>
          </w:p>
        </w:tc>
      </w:tr>
      <w:tr>
        <w:tc>
          <w:tcPr>
            <w:tcW w:type="dxa" w:w="1417"/>
          </w:tcPr>
          <w:p>
            <w:r>
              <w:t>NEM-AU</w:t>
            </w:r>
          </w:p>
        </w:tc>
        <w:tc>
          <w:tcPr>
            <w:tcW w:type="dxa" w:w="3685"/>
          </w:tcPr>
          <w:p>
            <w:r>
              <w:t>Newmont Corporation</w:t>
            </w:r>
          </w:p>
        </w:tc>
      </w:tr>
    </w:tbl>
    <w:br w:type="column"/>
    <w:p>
      <w:pPr>
        <w:pStyle w:val="Heading30"/>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7"/>
                    <a:stretch>
                      <a:fillRect/>
                    </a:stretch>
                  </pic:blipFill>
                  <pic:spPr>
                    <a:xfrm>
                      <a:off x="0" y="0"/>
                      <a:ext cx="3240000" cy="1800000"/>
                    </a:xfrm>
                    <a:prstGeom prst="rect"/>
                  </pic:spPr>
                </pic:pic>
              </a:graphicData>
            </a:graphic>
          </wp:inline>
        </w:drawing>
      </w:r>
    </w:p>
    <w:p>
      <w:pPr>
        <w:pStyle w:val="Heading30"/>
      </w:pPr>
      <w:r>
        <w:t>Cumulative Performance Since Inception</w:t>
      </w:r>
    </w:p>
    <w:p>
      <w:r>
        <w:drawing>
          <wp:inline xmlns:a="http://schemas.openxmlformats.org/drawingml/2006/main" xmlns:pic="http://schemas.openxmlformats.org/drawingml/2006/picture">
            <wp:extent cx="3240000" cy="216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18"/>
                    <a:stretch>
                      <a:fillRect/>
                    </a:stretch>
                  </pic:blipFill>
                  <pic:spPr>
                    <a:xfrm>
                      <a:off x="0" y="0"/>
                      <a:ext cx="3240000" cy="2160000"/>
                    </a:xfrm>
                    <a:prstGeom prst="rect"/>
                  </pic:spPr>
                </pic:pic>
              </a:graphicData>
            </a:graphic>
          </wp:inline>
        </w:drawing>
      </w:r>
    </w:p>
    <w:p>
      <w:pPr>
        <w:pStyle w:val="Heading30"/>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_Alloc_Ranges.png"/>
                    <pic:cNvPicPr/>
                  </pic:nvPicPr>
                  <pic:blipFill>
                    <a:blip r:embed="rId19"/>
                    <a:stretch>
                      <a:fillRect/>
                    </a:stretch>
                  </pic:blipFill>
                  <pic:spPr>
                    <a:xfrm>
                      <a:off x="0" y="0"/>
                      <a:ext cx="3240000" cy="1800000"/>
                    </a:xfrm>
                    <a:prstGeom prst="rect"/>
                  </pic:spPr>
                </pic:pic>
              </a:graphicData>
            </a:graphic>
          </wp:inline>
        </w:drawing>
      </w:r>
    </w:p>
    <w:br w:type="column"/>
    <w:p>
      <w:pPr>
        <w:pStyle w:val="Heading30"/>
      </w:pPr>
      <w:r>
        <w:t>Asset Class Performance</w:t>
      </w:r>
    </w:p>
    <w:tbl>
      <w:tblPr>
        <w:tblStyle w:val="AtchisonTable1"/>
        <w:tblW w:type="auto" w:w="0"/>
        <w:tblLook w:firstColumn="1" w:firstRow="1" w:lastColumn="0" w:lastRow="0" w:noHBand="0" w:noVBand="1" w:val="04A0"/>
      </w:tblPr>
      <w:tblGrid>
        <w:gridCol w:w="5527"/>
        <w:gridCol w:w="5527"/>
      </w:tblGrid>
      <w:tr>
        <w:tc>
          <w:tcPr>
            <w:tcW w:type="dxa" w:w="1984"/>
          </w:tcPr>
          <w:p>
            <w:r>
              <w:rPr>
                <w:b/>
              </w:rPr>
              <w:t>Period</w:t>
            </w:r>
          </w:p>
        </w:tc>
        <w:tc>
          <w:tcPr>
            <w:tcW w:type="dxa" w:w="3118"/>
          </w:tcPr>
          <w:p>
            <w:r>
              <w:rPr>
                <w:b/>
              </w:rPr>
              <w:t>1 Year</w:t>
            </w:r>
          </w:p>
        </w:tc>
      </w:tr>
      <w:tr>
        <w:tc>
          <w:tcPr>
            <w:tcW w:type="dxa" w:w="1984"/>
          </w:tcPr>
          <w:p>
            <w:r>
              <w:t>Australian Shares</w:t>
            </w:r>
          </w:p>
        </w:tc>
        <w:tc>
          <w:tcPr>
            <w:tcW w:type="dxa" w:w="3118"/>
          </w:tcPr>
          <w:p>
            <w:r>
              <w:t>6.3</w:t>
            </w:r>
          </w:p>
        </w:tc>
      </w:tr>
      <w:tr>
        <w:tc>
          <w:tcPr>
            <w:tcW w:type="dxa" w:w="1984"/>
          </w:tcPr>
          <w:p>
            <w:r>
              <w:t>International Shares</w:t>
            </w:r>
          </w:p>
        </w:tc>
        <w:tc>
          <w:tcPr>
            <w:tcW w:type="dxa" w:w="3118"/>
          </w:tcPr>
          <w:p>
            <w:r>
              <w:t>9.46</w:t>
            </w:r>
          </w:p>
        </w:tc>
      </w:tr>
      <w:tr>
        <w:tc>
          <w:tcPr>
            <w:tcW w:type="dxa" w:w="1984"/>
          </w:tcPr>
          <w:p>
            <w:r>
              <w:t>Real Assets</w:t>
            </w:r>
          </w:p>
        </w:tc>
        <w:tc>
          <w:tcPr>
            <w:tcW w:type="dxa" w:w="3118"/>
          </w:tcPr>
          <w:p>
            <w:r>
              <w:t>8.3</w:t>
            </w:r>
          </w:p>
        </w:tc>
      </w:tr>
      <w:tr>
        <w:tc>
          <w:tcPr>
            <w:tcW w:type="dxa" w:w="1984"/>
          </w:tcPr>
          <w:p>
            <w:r>
              <w:t>Alternatives</w:t>
            </w:r>
          </w:p>
        </w:tc>
        <w:tc>
          <w:tcPr>
            <w:tcW w:type="dxa" w:w="3118"/>
          </w:tcPr>
          <w:p>
            <w:r>
              <w:t>28.95</w:t>
            </w:r>
          </w:p>
        </w:tc>
      </w:tr>
      <w:tr>
        <w:tc>
          <w:tcPr>
            <w:tcW w:type="dxa" w:w="1984"/>
          </w:tcPr>
          <w:p>
            <w:r>
              <w:t>Long Duration</w:t>
            </w:r>
          </w:p>
        </w:tc>
        <w:tc>
          <w:tcPr>
            <w:tcW w:type="dxa" w:w="3118"/>
          </w:tcPr>
          <w:p>
            <w:r>
              <w:t>2.58</w:t>
            </w:r>
          </w:p>
        </w:tc>
      </w:tr>
      <w:tr>
        <w:tc>
          <w:tcPr>
            <w:tcW w:type="dxa" w:w="1984"/>
          </w:tcPr>
          <w:p>
            <w:r>
              <w:t>Floating Rate</w:t>
            </w:r>
          </w:p>
        </w:tc>
        <w:tc>
          <w:tcPr>
            <w:tcW w:type="dxa" w:w="3118"/>
          </w:tcPr>
          <w:p>
            <w:r>
              <w:t>5.92</w:t>
            </w:r>
          </w:p>
        </w:tc>
      </w:tr>
      <w:tr>
        <w:tc>
          <w:tcPr>
            <w:tcW w:type="dxa" w:w="1984"/>
          </w:tcPr>
          <w:p>
            <w:r>
              <w:t>Cash</w:t>
            </w:r>
          </w:p>
        </w:tc>
        <w:tc>
          <w:tcPr>
            <w:tcW w:type="dxa" w:w="3118"/>
          </w:tcPr>
          <w:p>
            <w:r>
              <w:t>3.92</w:t>
            </w:r>
          </w:p>
        </w:tc>
      </w:tr>
    </w:tbl>
    <w:p>
      <w:pPr>
        <w:pStyle w:val="Note"/>
      </w:pPr>
      <w:r>
        <w:t>Inception Date: 22 August 2023</w:t>
      </w:r>
    </w:p>
    <w:p>
      <w:pPr>
        <w:pStyle w:val="Heading30"/>
      </w:pPr>
      <w:r>
        <w:t>Portfolio Construction</w:t>
      </w:r>
    </w:p>
    <w:p>
      <w:r>
        <w:drawing>
          <wp:inline xmlns:a="http://schemas.openxmlformats.org/drawingml/2006/main" xmlns:pic="http://schemas.openxmlformats.org/drawingml/2006/picture">
            <wp:extent cx="3240000" cy="2322000"/>
            <wp:docPr id="4" name="Picture 4"/>
            <wp:cNvGraphicFramePr>
              <a:graphicFrameLocks noChangeAspect="1"/>
            </wp:cNvGraphicFramePr>
            <a:graphic>
              <a:graphicData uri="http://schemas.openxmlformats.org/drawingml/2006/picture">
                <pic:pic>
                  <pic:nvPicPr>
                    <pic:cNvPr id="0" name="3_Alloc_Mgr_Level_5.png"/>
                    <pic:cNvPicPr/>
                  </pic:nvPicPr>
                  <pic:blipFill>
                    <a:blip r:embed="rId20"/>
                    <a:stretch>
                      <a:fillRect/>
                    </a:stretch>
                  </pic:blipFill>
                  <pic:spPr>
                    <a:xfrm>
                      <a:off x="0" y="0"/>
                      <a:ext cx="3240000" cy="2322000"/>
                    </a:xfrm>
                    <a:prstGeom prst="rect"/>
                  </pic:spPr>
                </pic:pic>
              </a:graphicData>
            </a:graphic>
          </wp:inline>
        </w:drawing>
      </w:r>
    </w:p>
    <w:p>
      <w:pPr>
        <w:pStyle w:val="Heading30"/>
      </w:pPr>
      <w:r>
        <w:t>Correlations</w:t>
      </w:r>
    </w:p>
    <w:p>
      <w:r>
        <w:drawing>
          <wp:inline xmlns:a="http://schemas.openxmlformats.org/drawingml/2006/main" xmlns:pic="http://schemas.openxmlformats.org/drawingml/2006/picture">
            <wp:extent cx="3240000" cy="2700000"/>
            <wp:docPr id="5" name="Picture 5"/>
            <wp:cNvGraphicFramePr>
              <a:graphicFrameLocks noChangeAspect="1"/>
            </wp:cNvGraphicFramePr>
            <a:graphic>
              <a:graphicData uri="http://schemas.openxmlformats.org/drawingml/2006/picture">
                <pic:pic>
                  <pic:nvPicPr>
                    <pic:cNvPr id="0" name="6_Sleeve_MonthlyCorrel.png"/>
                    <pic:cNvPicPr/>
                  </pic:nvPicPr>
                  <pic:blipFill>
                    <a:blip r:embed="rId21"/>
                    <a:stretch>
                      <a:fillRect/>
                    </a:stretch>
                  </pic:blipFill>
                  <pic:spPr>
                    <a:xfrm>
                      <a:off x="0" y="0"/>
                      <a:ext cx="3240000" cy="2700000"/>
                    </a:xfrm>
                    <a:prstGeom prst="rect"/>
                  </pic:spPr>
                </pic:pic>
              </a:graphicData>
            </a:graphic>
          </wp:inline>
        </w:drawing>
      </w:r>
    </w:p>
    <w:br w:type="column"/>
    <w:p>
      <w:pPr>
        <w:pStyle w:val="Heading30"/>
      </w:pPr>
      <w:r>
        <w:t>Historical Allocation Changes</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3_Allocation_FloatHistory.png"/>
                    <pic:cNvPicPr/>
                  </pic:nvPicPr>
                  <pic:blipFill>
                    <a:blip r:embed="rId22"/>
                    <a:stretch>
                      <a:fillRect/>
                    </a:stretch>
                  </pic:blipFill>
                  <pic:spPr>
                    <a:xfrm>
                      <a:off x="0" y="0"/>
                      <a:ext cx="3240000" cy="2880000"/>
                    </a:xfrm>
                    <a:prstGeom prst="rect"/>
                  </pic:spPr>
                </pic:pic>
              </a:graphicData>
            </a:graphic>
          </wp:inline>
        </w:drawing>
      </w:r>
    </w:p>
    <w:p>
      <w:pPr>
        <w:pStyle w:val="Heading30"/>
      </w:pPr>
      <w:r>
        <w:t>Underlying Current Manager Performance</w:t>
      </w:r>
    </w:p>
    <w:tbl>
      <w:tblPr>
        <w:tblStyle w:val="AtchisonTable1"/>
        <w:tblW w:type="auto" w:w="0"/>
        <w:tblLook w:firstColumn="1" w:firstRow="1" w:lastColumn="0" w:lastRow="0" w:noHBand="0" w:noVBand="1" w:val="04A0"/>
      </w:tblPr>
      <w:tblGrid>
        <w:gridCol w:w="3685"/>
        <w:gridCol w:w="3685"/>
        <w:gridCol w:w="3685"/>
      </w:tblGrid>
      <w:tr>
        <w:tc>
          <w:tcPr>
            <w:tcW w:type="dxa" w:w="2268"/>
          </w:tcPr>
          <w:p>
            <w:r>
              <w:rPr>
                <w:b/>
              </w:rPr>
              <w:t>Strategy</w:t>
            </w:r>
          </w:p>
        </w:tc>
        <w:tc>
          <w:tcPr>
            <w:tcW w:type="dxa" w:w="1417"/>
          </w:tcPr>
          <w:p>
            <w:r>
              <w:rPr>
                <w:b/>
              </w:rPr>
              <w:t>1 Year</w:t>
            </w:r>
          </w:p>
        </w:tc>
        <w:tc>
          <w:tcPr>
            <w:tcW w:type="dxa" w:w="1417"/>
          </w:tcPr>
          <w:p>
            <w:r>
              <w:rPr>
                <w:b/>
              </w:rPr>
              <w:t>3 Years (p.a.)</w:t>
            </w:r>
          </w:p>
        </w:tc>
      </w:tr>
      <w:tr>
        <w:tc>
          <w:tcPr>
            <w:tcW w:type="dxa" w:w="2268"/>
          </w:tcPr>
          <w:p>
            <w:r>
              <w:t>iShares ASX 200</w:t>
            </w:r>
          </w:p>
        </w:tc>
        <w:tc>
          <w:tcPr>
            <w:tcW w:type="dxa" w:w="1417"/>
          </w:tcPr>
          <w:p>
            <w:r>
              <w:t>7.41</w:t>
            </w:r>
          </w:p>
        </w:tc>
        <w:tc>
          <w:tcPr>
            <w:tcW w:type="dxa" w:w="1417"/>
          </w:tcPr>
          <w:p>
            <w:r>
              <w:t>10.69</w:t>
            </w:r>
          </w:p>
        </w:tc>
      </w:tr>
      <w:tr>
        <w:tc>
          <w:tcPr>
            <w:tcW w:type="dxa" w:w="2268"/>
          </w:tcPr>
          <w:p>
            <w:r>
              <w:t>Merlon Concentrated AusEq</w:t>
            </w:r>
          </w:p>
        </w:tc>
        <w:tc>
          <w:tcPr>
            <w:tcW w:type="dxa" w:w="1417"/>
          </w:tcPr>
          <w:p>
            <w:r>
              <w:t>6.99</w:t>
            </w:r>
          </w:p>
        </w:tc>
        <w:tc>
          <w:tcPr>
            <w:tcW w:type="dxa" w:w="1417"/>
          </w:tcPr>
          <w:p>
            <w:r>
              <w:t>8.47</w:t>
            </w:r>
          </w:p>
        </w:tc>
      </w:tr>
      <w:tr>
        <w:tc>
          <w:tcPr>
            <w:tcW w:type="dxa" w:w="2268"/>
          </w:tcPr>
          <w:p>
            <w:r>
              <w:rPr>
                <w:b/>
              </w:rPr>
              <w:t>BM: Australian Shares</w:t>
            </w:r>
          </w:p>
        </w:tc>
        <w:tc>
          <w:tcPr>
            <w:tcW w:type="dxa" w:w="1417"/>
          </w:tcPr>
          <w:p>
            <w:r>
              <w:rPr>
                <w:b/>
              </w:rPr>
              <w:t>7.37</w:t>
            </w:r>
          </w:p>
        </w:tc>
        <w:tc>
          <w:tcPr>
            <w:tcW w:type="dxa" w:w="1417"/>
          </w:tcPr>
          <w:p>
            <w:r>
              <w:rPr>
                <w:b/>
              </w:rPr>
              <w:t>10.67</w:t>
            </w:r>
          </w:p>
        </w:tc>
      </w:tr>
      <w:tr>
        <w:tc>
          <w:tcPr>
            <w:tcW w:type="dxa" w:w="2268"/>
          </w:tcPr>
          <w:p>
            <w:r>
              <w:t>VG MSCI World</w:t>
            </w:r>
          </w:p>
        </w:tc>
        <w:tc>
          <w:tcPr>
            <w:tcW w:type="dxa" w:w="1417"/>
          </w:tcPr>
          <w:p>
            <w:r>
              <w:t>5.98</w:t>
            </w:r>
          </w:p>
        </w:tc>
        <w:tc>
          <w:tcPr>
            <w:tcW w:type="dxa" w:w="1417"/>
          </w:tcPr>
          <w:p>
            <w:r>
              <w:t>14.04</w:t>
            </w:r>
          </w:p>
        </w:tc>
      </w:tr>
      <w:tr>
        <w:tc>
          <w:tcPr>
            <w:tcW w:type="dxa" w:w="2268"/>
          </w:tcPr>
          <w:p>
            <w:r>
              <w:t xml:space="preserve">VG MSCI World Hedged </w:t>
            </w:r>
          </w:p>
        </w:tc>
        <w:tc>
          <w:tcPr>
            <w:tcW w:type="dxa" w:w="1417"/>
          </w:tcPr>
          <w:p>
            <w:r>
              <w:t>16.04</w:t>
            </w:r>
          </w:p>
        </w:tc>
        <w:tc>
          <w:tcPr>
            <w:tcW w:type="dxa" w:w="1417"/>
          </w:tcPr>
          <w:p>
            <w:r>
              <w:t>16.51</w:t>
            </w:r>
          </w:p>
        </w:tc>
      </w:tr>
      <w:tr>
        <w:tc>
          <w:tcPr>
            <w:tcW w:type="dxa" w:w="2268"/>
          </w:tcPr>
          <w:p>
            <w:r>
              <w:t xml:space="preserve">iShares Japan </w:t>
            </w:r>
          </w:p>
        </w:tc>
        <w:tc>
          <w:tcPr>
            <w:tcW w:type="dxa" w:w="1417"/>
          </w:tcPr>
          <w:p>
            <w:r>
              <w:t>15.92</w:t>
            </w:r>
          </w:p>
        </w:tc>
        <w:tc>
          <w:tcPr>
            <w:tcW w:type="dxa" w:w="1417"/>
          </w:tcPr>
          <w:p>
            <w:r>
              <w:t>12.57</w:t>
            </w:r>
          </w:p>
        </w:tc>
      </w:tr>
      <w:tr>
        <w:tc>
          <w:tcPr>
            <w:tcW w:type="dxa" w:w="2268"/>
          </w:tcPr>
          <w:p>
            <w:r>
              <w:t>Capital Group New H</w:t>
            </w:r>
          </w:p>
        </w:tc>
        <w:tc>
          <w:tcPr>
            <w:tcW w:type="dxa" w:w="1417"/>
          </w:tcPr>
          <w:p>
            <w:r>
              <w:t>12.3</w:t>
            </w:r>
          </w:p>
        </w:tc>
        <w:tc>
          <w:tcPr>
            <w:tcW w:type="dxa" w:w="1417"/>
          </w:tcPr>
          <w:p>
            <w:r>
              <w:t>13.97</w:t>
            </w:r>
          </w:p>
        </w:tc>
      </w:tr>
      <w:tr>
        <w:tc>
          <w:tcPr>
            <w:tcW w:type="dxa" w:w="2268"/>
          </w:tcPr>
          <w:p>
            <w:r>
              <w:t>Fidelity EM</w:t>
            </w:r>
          </w:p>
        </w:tc>
        <w:tc>
          <w:tcPr>
            <w:tcW w:type="dxa" w:w="1417"/>
          </w:tcPr>
          <w:p>
            <w:r>
              <w:t>20.52</w:t>
            </w:r>
          </w:p>
        </w:tc>
        <w:tc>
          <w:tcPr>
            <w:tcW w:type="dxa" w:w="1417"/>
          </w:tcPr>
          <w:p>
            <w:r>
              <w:t>8.99</w:t>
            </w:r>
          </w:p>
        </w:tc>
      </w:tr>
      <w:tr>
        <w:tc>
          <w:tcPr>
            <w:tcW w:type="dxa" w:w="2268"/>
          </w:tcPr>
          <w:p>
            <w:r>
              <w:t>CapGroup New Persp</w:t>
            </w:r>
          </w:p>
        </w:tc>
        <w:tc>
          <w:tcPr>
            <w:tcW w:type="dxa" w:w="1417"/>
          </w:tcPr>
          <w:p>
            <w:r>
              <w:t>5.62</w:t>
            </w:r>
          </w:p>
        </w:tc>
        <w:tc>
          <w:tcPr>
            <w:tcW w:type="dxa" w:w="1417"/>
          </w:tcPr>
          <w:p>
            <w:r>
              <w:t>12.74</w:t>
            </w:r>
          </w:p>
        </w:tc>
      </w:tr>
      <w:tr>
        <w:tc>
          <w:tcPr>
            <w:tcW w:type="dxa" w:w="2268"/>
          </w:tcPr>
          <w:p>
            <w:r>
              <w:t>VG Int Smalls</w:t>
            </w:r>
          </w:p>
        </w:tc>
        <w:tc>
          <w:tcPr>
            <w:tcW w:type="dxa" w:w="1417"/>
          </w:tcPr>
          <w:p>
            <w:r>
              <w:t>8.88</w:t>
            </w:r>
          </w:p>
        </w:tc>
        <w:tc>
          <w:tcPr>
            <w:tcW w:type="dxa" w:w="1417"/>
          </w:tcPr>
          <w:p>
            <w:r>
              <w:t>11.3</w:t>
            </w:r>
          </w:p>
        </w:tc>
      </w:tr>
      <w:tr>
        <w:tc>
          <w:tcPr>
            <w:tcW w:type="dxa" w:w="2268"/>
          </w:tcPr>
          <w:p>
            <w:r>
              <w:t>VE Global Quality Eq</w:t>
            </w:r>
          </w:p>
        </w:tc>
        <w:tc>
          <w:tcPr>
            <w:tcW w:type="dxa" w:w="1417"/>
          </w:tcPr>
          <w:p>
            <w:r>
              <w:t>2.37</w:t>
            </w:r>
          </w:p>
        </w:tc>
        <w:tc>
          <w:tcPr>
            <w:tcW w:type="dxa" w:w="1417"/>
          </w:tcPr>
          <w:p>
            <w:r>
              <w:t>12.77</w:t>
            </w:r>
          </w:p>
        </w:tc>
      </w:tr>
      <w:tr>
        <w:tc>
          <w:tcPr>
            <w:tcW w:type="dxa" w:w="2268"/>
          </w:tcPr>
          <w:p>
            <w:r>
              <w:t>VG Global Value Eq</w:t>
            </w:r>
          </w:p>
        </w:tc>
        <w:tc>
          <w:tcPr>
            <w:tcW w:type="dxa" w:w="1417"/>
          </w:tcPr>
          <w:p>
            <w:r>
              <w:t>11.43</w:t>
            </w:r>
          </w:p>
        </w:tc>
        <w:tc>
          <w:tcPr>
            <w:tcW w:type="dxa" w:w="1417"/>
          </w:tcPr>
          <w:p>
            <w:r>
              <w:t>12.77</w:t>
            </w:r>
          </w:p>
        </w:tc>
      </w:tr>
      <w:tr>
        <w:tc>
          <w:tcPr>
            <w:tcW w:type="dxa" w:w="2268"/>
          </w:tcPr>
          <w:p>
            <w:r>
              <w:rPr>
                <w:b/>
              </w:rPr>
              <w:t>BM: International Shares</w:t>
            </w:r>
          </w:p>
        </w:tc>
        <w:tc>
          <w:tcPr>
            <w:tcW w:type="dxa" w:w="1417"/>
          </w:tcPr>
          <w:p>
            <w:r>
              <w:rPr>
                <w:b/>
              </w:rPr>
              <w:t>9.67</w:t>
            </w:r>
          </w:p>
        </w:tc>
        <w:tc>
          <w:tcPr>
            <w:tcW w:type="dxa" w:w="1417"/>
          </w:tcPr>
          <w:p>
            <w:r>
              <w:rPr>
                <w:b/>
              </w:rPr>
              <w:t>13.91</w:t>
            </w:r>
          </w:p>
        </w:tc>
      </w:tr>
      <w:tr>
        <w:tc>
          <w:tcPr>
            <w:tcW w:type="dxa" w:w="2268"/>
          </w:tcPr>
          <w:p>
            <w:r>
              <w:t>VG AREIT</w:t>
            </w:r>
          </w:p>
        </w:tc>
        <w:tc>
          <w:tcPr>
            <w:tcW w:type="dxa" w:w="1417"/>
          </w:tcPr>
          <w:p>
            <w:r>
              <w:t>0.93</w:t>
            </w:r>
          </w:p>
        </w:tc>
        <w:tc>
          <w:tcPr>
            <w:tcW w:type="dxa" w:w="1417"/>
          </w:tcPr>
          <w:p>
            <w:r>
              <w:t>10.8</w:t>
            </w:r>
          </w:p>
        </w:tc>
      </w:tr>
      <w:tr>
        <w:tc>
          <w:tcPr>
            <w:tcW w:type="dxa" w:w="2268"/>
          </w:tcPr>
          <w:p>
            <w:r>
              <w:t>VanEck Glb Infra H</w:t>
            </w:r>
          </w:p>
        </w:tc>
        <w:tc>
          <w:tcPr>
            <w:tcW w:type="dxa" w:w="1417"/>
          </w:tcPr>
          <w:p>
            <w:r>
              <w:t>13.49</w:t>
            </w:r>
          </w:p>
        </w:tc>
        <w:tc>
          <w:tcPr>
            <w:tcW w:type="dxa" w:w="1417"/>
          </w:tcPr>
          <w:p>
            <w:r>
              <w:t>10.31</w:t>
            </w:r>
          </w:p>
        </w:tc>
      </w:tr>
      <w:tr>
        <w:tc>
          <w:tcPr>
            <w:tcW w:type="dxa" w:w="2268"/>
          </w:tcPr>
          <w:p>
            <w:r>
              <w:t>RARE Infra Income</w:t>
            </w:r>
          </w:p>
        </w:tc>
        <w:tc>
          <w:tcPr>
            <w:tcW w:type="dxa" w:w="1417"/>
          </w:tcPr>
          <w:p>
            <w:r>
              <w:t>16.23</w:t>
            </w:r>
          </w:p>
        </w:tc>
        <w:tc>
          <w:tcPr>
            <w:tcW w:type="dxa" w:w="1417"/>
          </w:tcPr>
          <w:p>
            <w:r>
              <w:t>10.6</w:t>
            </w:r>
          </w:p>
        </w:tc>
      </w:tr>
      <w:tr>
        <w:tc>
          <w:tcPr>
            <w:tcW w:type="dxa" w:w="2268"/>
          </w:tcPr>
          <w:p>
            <w:r>
              <w:t>Euree AREIT</w:t>
            </w:r>
          </w:p>
        </w:tc>
        <w:tc>
          <w:tcPr>
            <w:tcW w:type="dxa" w:w="1417"/>
          </w:tcPr>
          <w:p>
            <w:r>
              <w:t>2.22</w:t>
            </w:r>
          </w:p>
        </w:tc>
        <w:tc>
          <w:tcPr>
            <w:tcW w:type="dxa" w:w="1417"/>
          </w:tcPr>
          <w:p>
            <w:r>
              <w:t>9.77</w:t>
            </w:r>
          </w:p>
        </w:tc>
      </w:tr>
      <w:tr>
        <w:tc>
          <w:tcPr>
            <w:tcW w:type="dxa" w:w="2268"/>
          </w:tcPr>
          <w:p>
            <w:r>
              <w:rPr>
                <w:b/>
              </w:rPr>
              <w:t>BM: Real Assets</w:t>
            </w:r>
          </w:p>
        </w:tc>
        <w:tc>
          <w:tcPr>
            <w:tcW w:type="dxa" w:w="1417"/>
          </w:tcPr>
          <w:p>
            <w:r>
              <w:rPr>
                <w:b/>
              </w:rPr>
              <w:t>5.4</w:t>
            </w:r>
          </w:p>
        </w:tc>
        <w:tc>
          <w:tcPr>
            <w:tcW w:type="dxa" w:w="1417"/>
          </w:tcPr>
          <w:p>
            <w:r>
              <w:rPr>
                <w:b/>
              </w:rPr>
              <w:t>7.34</w:t>
            </w:r>
          </w:p>
        </w:tc>
      </w:tr>
      <w:tr>
        <w:tc>
          <w:tcPr>
            <w:tcW w:type="dxa" w:w="2268"/>
          </w:tcPr>
          <w:p>
            <w:r>
              <w:t>ETFS Physical Gold</w:t>
            </w:r>
          </w:p>
        </w:tc>
        <w:tc>
          <w:tcPr>
            <w:tcW w:type="dxa" w:w="1417"/>
          </w:tcPr>
          <w:p>
            <w:r>
              <w:t>64.65</w:t>
            </w:r>
          </w:p>
        </w:tc>
        <w:tc>
          <w:tcPr>
            <w:tcW w:type="dxa" w:w="1417"/>
          </w:tcPr>
          <w:p>
            <w:r>
              <w:t>35.53</w:t>
            </w:r>
          </w:p>
        </w:tc>
      </w:tr>
      <w:tr>
        <w:tc>
          <w:tcPr>
            <w:tcW w:type="dxa" w:w="2268"/>
          </w:tcPr>
          <w:p>
            <w:r>
              <w:t>Janus Gbl Multi Strat</w:t>
            </w:r>
          </w:p>
        </w:tc>
        <w:tc>
          <w:tcPr>
            <w:tcW w:type="dxa" w:w="1417"/>
          </w:tcPr>
          <w:p>
            <w:r>
              <w:t>8.5</w:t>
            </w:r>
          </w:p>
        </w:tc>
        <w:tc>
          <w:tcPr>
            <w:tcW w:type="dxa" w:w="1417"/>
          </w:tcPr>
          <w:p>
            <w:r>
              <w:t>3.64</w:t>
            </w:r>
          </w:p>
        </w:tc>
      </w:tr>
      <w:tr>
        <w:tc>
          <w:tcPr>
            <w:tcW w:type="dxa" w:w="2268"/>
          </w:tcPr>
          <w:p>
            <w:r>
              <w:t>Qualitas Prop Inc</w:t>
            </w:r>
          </w:p>
        </w:tc>
        <w:tc>
          <w:tcPr>
            <w:tcW w:type="dxa" w:w="1417"/>
          </w:tcPr>
          <w:p>
            <w:r>
              <w:t>3.73</w:t>
            </w:r>
          </w:p>
        </w:tc>
        <w:tc>
          <w:tcPr>
            <w:tcW w:type="dxa" w:w="1417"/>
          </w:tcPr>
          <w:p>
            <w:r>
              <w:t>8.22</w:t>
            </w:r>
          </w:p>
        </w:tc>
      </w:tr>
      <w:tr>
        <w:tc>
          <w:tcPr>
            <w:tcW w:type="dxa" w:w="2268"/>
          </w:tcPr>
          <w:p>
            <w:r>
              <w:rPr>
                <w:b/>
              </w:rPr>
              <w:t>BM: Alternatives</w:t>
            </w:r>
          </w:p>
        </w:tc>
        <w:tc>
          <w:tcPr>
            <w:tcW w:type="dxa" w:w="1417"/>
          </w:tcPr>
          <w:p>
            <w:r>
              <w:rPr>
                <w:b/>
              </w:rPr>
              <w:t>3.96</w:t>
            </w:r>
          </w:p>
        </w:tc>
        <w:tc>
          <w:tcPr>
            <w:tcW w:type="dxa" w:w="1417"/>
          </w:tcPr>
          <w:p>
            <w:r>
              <w:rPr>
                <w:b/>
              </w:rPr>
              <w:t>3.49</w:t>
            </w:r>
          </w:p>
        </w:tc>
      </w:tr>
      <w:tr>
        <w:tc>
          <w:tcPr>
            <w:tcW w:type="dxa" w:w="2268"/>
          </w:tcPr>
          <w:p>
            <w:r>
              <w:t>iShares Aus Bond</w:t>
            </w:r>
          </w:p>
        </w:tc>
        <w:tc>
          <w:tcPr>
            <w:tcW w:type="dxa" w:w="1417"/>
          </w:tcPr>
          <w:p>
            <w:r>
              <w:t>3.1</w:t>
            </w:r>
          </w:p>
        </w:tc>
        <w:tc>
          <w:tcPr>
            <w:tcW w:type="dxa" w:w="1417"/>
          </w:tcPr>
          <w:p>
            <w:r>
              <w:t>3.16</w:t>
            </w:r>
          </w:p>
        </w:tc>
      </w:tr>
      <w:tr>
        <w:tc>
          <w:tcPr>
            <w:tcW w:type="dxa" w:w="2268"/>
          </w:tcPr>
          <w:p>
            <w:r>
              <w:t>VG Global Agg</w:t>
            </w:r>
          </w:p>
        </w:tc>
        <w:tc>
          <w:tcPr>
            <w:tcW w:type="dxa" w:w="1417"/>
          </w:tcPr>
          <w:p>
            <w:r>
              <w:t>4.46</w:t>
            </w:r>
          </w:p>
        </w:tc>
        <w:tc>
          <w:tcPr>
            <w:tcW w:type="dxa" w:w="1417"/>
          </w:tcPr>
          <w:p>
            <w:r>
              <w:t>3.65</w:t>
            </w:r>
          </w:p>
        </w:tc>
      </w:tr>
      <w:tr>
        <w:tc>
          <w:tcPr>
            <w:tcW w:type="dxa" w:w="2268"/>
          </w:tcPr>
          <w:p>
            <w:r>
              <w:t>iShares Global Bond</w:t>
            </w:r>
          </w:p>
        </w:tc>
        <w:tc>
          <w:tcPr>
            <w:tcW w:type="dxa" w:w="1417"/>
          </w:tcPr>
          <w:p>
            <w:r>
              <w:t>3.29</w:t>
            </w:r>
          </w:p>
        </w:tc>
        <w:tc>
          <w:tcPr>
            <w:tcW w:type="dxa" w:w="1417"/>
          </w:tcPr>
          <w:p>
            <w:r>
              <w:t>3.2</w:t>
            </w:r>
          </w:p>
        </w:tc>
      </w:tr>
      <w:tr>
        <w:tc>
          <w:tcPr>
            <w:tcW w:type="dxa" w:w="2268"/>
          </w:tcPr>
          <w:p>
            <w:r>
              <w:t>iShares Aus Bond</w:t>
            </w:r>
          </w:p>
        </w:tc>
        <w:tc>
          <w:tcPr>
            <w:tcW w:type="dxa" w:w="1417"/>
          </w:tcPr>
          <w:p>
            <w:r>
              <w:t>1.67</w:t>
            </w:r>
          </w:p>
        </w:tc>
        <w:tc>
          <w:tcPr>
            <w:tcW w:type="dxa" w:w="1417"/>
          </w:tcPr>
          <w:p>
            <w:r>
              <w:t>2.46</w:t>
            </w:r>
          </w:p>
        </w:tc>
      </w:tr>
      <w:tr>
        <w:tc>
          <w:tcPr>
            <w:tcW w:type="dxa" w:w="2268"/>
          </w:tcPr>
          <w:p>
            <w:r>
              <w:rPr>
                <w:b/>
              </w:rPr>
              <w:t>BM: Duration</w:t>
            </w:r>
          </w:p>
        </w:tc>
        <w:tc>
          <w:tcPr>
            <w:tcW w:type="dxa" w:w="1417"/>
          </w:tcPr>
          <w:p>
            <w:r>
              <w:rPr>
                <w:b/>
              </w:rPr>
              <w:t>3.56</w:t>
            </w:r>
          </w:p>
        </w:tc>
        <w:tc>
          <w:tcPr>
            <w:tcW w:type="dxa" w:w="1417"/>
          </w:tcPr>
          <w:p>
            <w:r>
              <w:rPr>
                <w:b/>
              </w:rPr>
              <w:t>3.47</w:t>
            </w:r>
          </w:p>
        </w:tc>
      </w:tr>
      <w:tr>
        <w:tc>
          <w:tcPr>
            <w:tcW w:type="dxa" w:w="2268"/>
          </w:tcPr>
          <w:p>
            <w:r>
              <w:t>Janus Tactical Inc</w:t>
            </w:r>
          </w:p>
        </w:tc>
        <w:tc>
          <w:tcPr>
            <w:tcW w:type="dxa" w:w="1417"/>
          </w:tcPr>
          <w:p>
            <w:r>
              <w:t>5.85</w:t>
            </w:r>
          </w:p>
        </w:tc>
        <w:tc>
          <w:tcPr>
            <w:tcW w:type="dxa" w:w="1417"/>
          </w:tcPr>
          <w:p>
            <w:r>
              <w:t>4.82</w:t>
            </w:r>
          </w:p>
        </w:tc>
      </w:tr>
      <w:tr>
        <w:tc>
          <w:tcPr>
            <w:tcW w:type="dxa" w:w="2268"/>
          </w:tcPr>
          <w:p>
            <w:r>
              <w:rPr>
                <w:b/>
              </w:rPr>
              <w:t>BM: Floating</w:t>
            </w:r>
          </w:p>
        </w:tc>
        <w:tc>
          <w:tcPr>
            <w:tcW w:type="dxa" w:w="1417"/>
          </w:tcPr>
          <w:p>
            <w:r>
              <w:rPr>
                <w:b/>
              </w:rPr>
              <w:t>5.14</w:t>
            </w:r>
          </w:p>
        </w:tc>
        <w:tc>
          <w:tcPr>
            <w:tcW w:type="dxa" w:w="1417"/>
          </w:tcPr>
          <w:p>
            <w:r>
              <w:rPr>
                <w:b/>
              </w:rPr>
              <w:t>4.25</w:t>
            </w:r>
          </w:p>
        </w:tc>
      </w:tr>
      <w:tr>
        <w:tc>
          <w:tcPr>
            <w:tcW w:type="dxa" w:w="2268"/>
          </w:tcPr>
          <w:p>
            <w:r>
              <w:t>iShares Cash</w:t>
            </w:r>
          </w:p>
        </w:tc>
        <w:tc>
          <w:tcPr>
            <w:tcW w:type="dxa" w:w="1417"/>
          </w:tcPr>
          <w:p>
            <w:r>
              <w:t>3.96</w:t>
            </w:r>
          </w:p>
        </w:tc>
        <w:tc>
          <w:tcPr>
            <w:tcW w:type="dxa" w:w="1417"/>
          </w:tcPr>
          <w:p>
            <w:r>
              <w:t>3.48</w:t>
            </w:r>
          </w:p>
        </w:tc>
      </w:tr>
    </w:tbl>
    <w:p>
      <w:pPr>
        <w:pStyle w:val="Note"/>
      </w:pPr>
      <w:r>
        <w:t>Inception Date: 22 August 2023</w:t>
      </w:r>
    </w:p>
    <w:p>
      <w:pPr>
        <w:pStyle w:val="BodyStyle"/>
      </w:pPr>
      <w:r>
        <w:t>Underlying investment manager returns are shown after fees and before tax</w:t>
      </w:r>
    </w:p>
    <w:br w:type="column"/>
    <w:p>
      <w:pPr>
        <w:pStyle w:val="Heading20"/>
      </w:pPr>
      <w:r>
        <w:t>Market Update</w:t>
      </w:r>
    </w:p>
    <w:p>
      <w:pPr>
        <w:pStyle w:val="BodyStyle"/>
      </w:pPr>
      <w:r>
        <w:t>Australian equities began the year on a strong footing, with the S&amp;P/ASX 200 rising 2% in January. Sector returns were mixed, with Energy and Materials the standout performers, rising 11% and 9% respectively, supported by stronger oil and copper prices.</w:t>
        <w:br/>
        <w:br/>
        <w:t>In contrast, Information Technology extended its weakness into 2026, falling 9%.</w:t>
        <w:br/>
        <w:br/>
        <w:t>Most factor indices recorded gains, led by Momentum and Value, each up 3%, while Low Volatility edged down 1%.</w:t>
        <w:br/>
        <w:br/>
        <w:t>The CSI300 finished marginally in the red for the month down -0.2%, as strength in policy-supported technology and industrial names was offset by ongoing weakness in property-related sectors and subdued consumer sentiment.</w:t>
        <w:br/>
        <w:br/>
        <w:t>The S&amp;P 500 recovered to reach record highs, ending January up 1%.</w:t>
        <w:br/>
        <w:br/>
        <w:t>Market gains broadened beyond mega-caps, with mid- and small-cap indices advancing 4% and 6%, signalling a wider participation in the rally.</w:t>
        <w:br/>
        <w:br/>
        <w:t>Sector leadership rotated toward cyclicals, with Energy and Materials rising 14% and 9%, while factor performance favoured dividend and value strategies over momentum.</w:t>
        <w:br/>
        <w:br/>
        <w:t>In Europe, Information Technology led gains in January, rising 11% driven by strong semiconductor stocks such as Besi and ASM International. Utilities climbed nearly 8%, while Consumer Discretionary lagged, falling 8%.</w:t>
        <w:br/>
        <w:br/>
        <w:t>In January 2026, the Reserve Bank of Australia lifted the official cash rate by 25 basis points to 3.85 per cent in response to persistent inflationary pressures, marking the first rate increase in over two years.</w:t>
        <w:br/>
        <w:br/>
        <w:t>US inflation remained elevated, leading markets to price a more hawkish Federal Reserve outlook, supporting the US dollar and weighing on rate-sensitive assets.</w:t>
        <w:br/>
        <w:br/>
        <w:t>Gold and silver continued their rally as investors sought exposure to hard assets. Silver performed strongly but saw a sharp one-day pullback late in the month (which has continued into February) as higher rate expectations weighed on precious metals.</w:t>
        <w:br/>
        <w:br/>
      </w:r>
    </w:p>
    <w:p>
      <w:pPr>
        <w:pStyle w:val="Heading20"/>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1C33C8" w:rsidSect="002133B0">
      <w:type w:val="continuous"/>
      <w:pgSz w:w="11900" w:h="16840" w:code="9"/>
      <w:pgMar w:top="0" w:right="420" w:bottom="0" w:left="425" w:header="0" w:footer="451" w:gutter="0"/>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1E980" w14:textId="77777777" w:rsidR="00EC1404" w:rsidRDefault="00EC1404" w:rsidP="007B4373">
      <w:r>
        <w:separator/>
      </w:r>
    </w:p>
  </w:endnote>
  <w:endnote w:type="continuationSeparator" w:id="0">
    <w:p w14:paraId="7A7F6BBD" w14:textId="77777777" w:rsidR="00EC1404" w:rsidRDefault="00EC1404"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25F327CF" w:rsidR="0057386D" w:rsidRDefault="002133B0" w:rsidP="002F4B28">
    <w:pPr>
      <w:pStyle w:val="Footer"/>
      <w:tabs>
        <w:tab w:val="clear" w:pos="4513"/>
        <w:tab w:val="clear" w:pos="9026"/>
      </w:tabs>
    </w:pPr>
    <w:r>
      <w:rPr>
        <w:noProof/>
      </w:rPr>
      <mc:AlternateContent>
        <mc:Choice Requires="wps">
          <w:drawing>
            <wp:anchor distT="0" distB="0" distL="114300" distR="114300" simplePos="0" relativeHeight="251658241" behindDoc="0" locked="0" layoutInCell="1" allowOverlap="1" wp14:anchorId="2E8614D7" wp14:editId="15467433">
              <wp:simplePos x="0" y="0"/>
              <wp:positionH relativeFrom="column">
                <wp:posOffset>6587490</wp:posOffset>
              </wp:positionH>
              <wp:positionV relativeFrom="page">
                <wp:posOffset>10267950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808.5pt;width:15pt;height:19.55pt;flip:x;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sidR="00DF12F7">
      <w:rPr>
        <w:noProof/>
      </w:rPr>
      <mc:AlternateContent>
        <mc:Choice Requires="wps">
          <w:drawing>
            <wp:anchor distT="4294967286" distB="4294967286" distL="114300" distR="114300" simplePos="0" relativeHeight="251658240" behindDoc="0" locked="0" layoutInCell="1" allowOverlap="1" wp14:anchorId="51235B58" wp14:editId="7C4AFA86">
              <wp:simplePos x="0" y="0"/>
              <wp:positionH relativeFrom="margin">
                <wp:posOffset>0</wp:posOffset>
              </wp:positionH>
              <wp:positionV relativeFrom="page">
                <wp:posOffset>10257790</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45FE9D8" id="Straight Connector 9" o:spid="_x0000_s1026" style="position:absolute;flip:y;z-index:251658240;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807.7pt" to="546pt,80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" strokecolor="#3d545e" strokeweight=".5pt">
              <v:stroke joinstyle="miter"/>
              <o:lock v:ext="edit" shapetype="f"/>
              <w10:wrap anchorx="margin"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2B309A7B" w:rsidR="005F6BD8" w:rsidRDefault="002976D3" w:rsidP="00E916A2">
    <w:pPr>
      <w:pStyle w:val="Footer"/>
      <w:tabs>
        <w:tab w:val="clear" w:pos="9026"/>
      </w:tabs>
    </w:pPr>
    <w:r>
      <w:rPr>
        <w:noProof/>
      </w:rPr>
      <mc:AlternateContent>
        <mc:Choice Requires="wps">
          <w:drawing>
            <wp:anchor distT="4294967286" distB="4294967286" distL="114300" distR="114300" simplePos="0" relativeHeight="251658242" behindDoc="0" locked="0" layoutInCell="1" allowOverlap="1" wp14:anchorId="4DF33864" wp14:editId="627120AF">
              <wp:simplePos x="0" y="0"/>
              <wp:positionH relativeFrom="margin">
                <wp:posOffset>0</wp:posOffset>
              </wp:positionH>
              <wp:positionV relativeFrom="page">
                <wp:posOffset>10095865</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B234CCC"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794.95pt" to="535.5pt,79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" strokecolor="#3d545e" strokeweight=".5pt">
              <v:stroke joinstyle="miter"/>
              <o:lock v:ext="edit" shapetype="f"/>
              <w10:wrap anchorx="margin" anchory="page"/>
            </v:line>
          </w:pict>
        </mc:Fallback>
      </mc:AlternateContent>
    </w:r>
    <w:r>
      <w:rPr>
        <w:noProof/>
      </w:rPr>
      <mc:AlternateContent>
        <mc:Choice Requires="wps">
          <w:drawing>
            <wp:anchor distT="0" distB="0" distL="114300" distR="114300" simplePos="0" relativeHeight="251658243" behindDoc="0" locked="0" layoutInCell="1" allowOverlap="1" wp14:anchorId="49980B01" wp14:editId="02A3271F">
              <wp:simplePos x="0" y="0"/>
              <wp:positionH relativeFrom="column">
                <wp:posOffset>5968365</wp:posOffset>
              </wp:positionH>
              <wp:positionV relativeFrom="page">
                <wp:posOffset>10187305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802.15pt;width:62.1pt;height:19.55pt;flip:x;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B1CE2" w14:textId="77777777" w:rsidR="00EC1404" w:rsidRDefault="00EC1404" w:rsidP="007B4373">
      <w:r>
        <w:separator/>
      </w:r>
    </w:p>
  </w:footnote>
  <w:footnote w:type="continuationSeparator" w:id="0">
    <w:p w14:paraId="0EF1D93D" w14:textId="77777777" w:rsidR="00EC1404" w:rsidRDefault="00EC1404"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03A" w14:textId="77777777" w:rsidR="005B64E3" w:rsidRDefault="005B64E3">
    <w:pPr>
      <w:rPr>
        <w:sz w:val="36"/>
        <w:szCs w:val="32"/>
      </w:rPr>
    </w:pPr>
  </w:p>
  <w:p w14:paraId="1A2E350C" w14:textId="724ED1AC" w:rsidR="001C33C8" w:rsidRDefault="00844973">
    <w:r w:rsidRPr="005A6718">
      <w:rPr>
        <w:b/>
        <w:bCs/>
        <w:noProof/>
      </w:rPr>
      <w:drawing>
        <wp:anchor distT="0" distB="288290" distL="0" distR="0" simplePos="0" relativeHeight="251658245" behindDoc="1" locked="0" layoutInCell="1" allowOverlap="1" wp14:anchorId="46544061" wp14:editId="2A81C8E8">
          <wp:simplePos x="0" y="0"/>
          <wp:positionH relativeFrom="page">
            <wp:posOffset>0</wp:posOffset>
          </wp:positionH>
          <wp:positionV relativeFrom="page">
            <wp:posOffset>-76200</wp:posOffset>
          </wp:positionV>
          <wp:extent cx="7559675" cy="1702435"/>
          <wp:effectExtent l="0" t="0" r="3175" b="0"/>
          <wp:wrapNone/>
          <wp:docPr id="62228676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59675" cy="1702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BB94FC" w14:textId="77777777" w:rsidR="001C33C8" w:rsidRDefault="001C33C8"/>
  <w:p w14:paraId="4DCA8871" w14:textId="77777777" w:rsidR="001C33C8" w:rsidRDefault="001C33C8"/>
  <w:p w14:paraId="7664C6BC" w14:textId="77777777" w:rsidR="001C33C8" w:rsidRDefault="001C33C8"/>
  <w:p w14:paraId="28C28B14" w14:textId="77777777" w:rsidR="001C33C8" w:rsidRDefault="001C33C8"/>
  <w:p w14:paraId="1F390310" w14:textId="77777777" w:rsidR="001C33C8" w:rsidRDefault="001C33C8"/>
  <w:p w14:paraId="06CE26D7" w14:textId="77777777" w:rsidR="001C33C8" w:rsidRDefault="001C33C8"/>
  <w:p w14:paraId="0ACFE8D4" w14:textId="77777777" w:rsidR="001C33C8" w:rsidRPr="00C70EBB" w:rsidRDefault="001C33C8">
    <w:pPr>
      <w:rPr>
        <w:sz w:val="28"/>
        <w:szCs w:val="28"/>
      </w:rPr>
    </w:pPr>
  </w:p>
  <w:p w14:paraId="2DC183F1" w14:textId="77777777" w:rsidR="001C33C8" w:rsidRDefault="001C33C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658244"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150677889"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3148"/>
    <w:rsid w:val="000459E1"/>
    <w:rsid w:val="000532D3"/>
    <w:rsid w:val="00056847"/>
    <w:rsid w:val="000678CC"/>
    <w:rsid w:val="000757DE"/>
    <w:rsid w:val="00080973"/>
    <w:rsid w:val="00087F53"/>
    <w:rsid w:val="00090422"/>
    <w:rsid w:val="000955EA"/>
    <w:rsid w:val="000A228B"/>
    <w:rsid w:val="000A304C"/>
    <w:rsid w:val="000A62F1"/>
    <w:rsid w:val="000A6B34"/>
    <w:rsid w:val="000B1D78"/>
    <w:rsid w:val="000B3BF3"/>
    <w:rsid w:val="000C01EB"/>
    <w:rsid w:val="000C7749"/>
    <w:rsid w:val="000D087D"/>
    <w:rsid w:val="000D6FA5"/>
    <w:rsid w:val="000E01D9"/>
    <w:rsid w:val="000E1D69"/>
    <w:rsid w:val="000E1F6A"/>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C33C8"/>
    <w:rsid w:val="001D529D"/>
    <w:rsid w:val="001D6606"/>
    <w:rsid w:val="001E6B7E"/>
    <w:rsid w:val="001F3D92"/>
    <w:rsid w:val="001F5791"/>
    <w:rsid w:val="002001E8"/>
    <w:rsid w:val="00205192"/>
    <w:rsid w:val="0020556B"/>
    <w:rsid w:val="00205695"/>
    <w:rsid w:val="0021075E"/>
    <w:rsid w:val="002133B0"/>
    <w:rsid w:val="00217EC2"/>
    <w:rsid w:val="00221A34"/>
    <w:rsid w:val="002239A0"/>
    <w:rsid w:val="00230F55"/>
    <w:rsid w:val="002363CC"/>
    <w:rsid w:val="0024534D"/>
    <w:rsid w:val="00253974"/>
    <w:rsid w:val="0025644B"/>
    <w:rsid w:val="00257642"/>
    <w:rsid w:val="0025781D"/>
    <w:rsid w:val="002623DE"/>
    <w:rsid w:val="0026385F"/>
    <w:rsid w:val="002654BE"/>
    <w:rsid w:val="002669A4"/>
    <w:rsid w:val="00273AFA"/>
    <w:rsid w:val="00296F75"/>
    <w:rsid w:val="002976D3"/>
    <w:rsid w:val="00297D02"/>
    <w:rsid w:val="002A4CDE"/>
    <w:rsid w:val="002B121D"/>
    <w:rsid w:val="002C227E"/>
    <w:rsid w:val="002C3024"/>
    <w:rsid w:val="002D7D38"/>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4951"/>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06F"/>
    <w:rsid w:val="0051469E"/>
    <w:rsid w:val="00517E90"/>
    <w:rsid w:val="00521981"/>
    <w:rsid w:val="005250C4"/>
    <w:rsid w:val="00544C13"/>
    <w:rsid w:val="005460DA"/>
    <w:rsid w:val="0056683C"/>
    <w:rsid w:val="00567CEE"/>
    <w:rsid w:val="0057386D"/>
    <w:rsid w:val="0058272A"/>
    <w:rsid w:val="00582FF9"/>
    <w:rsid w:val="0059421B"/>
    <w:rsid w:val="00595E5D"/>
    <w:rsid w:val="005961BD"/>
    <w:rsid w:val="005968B1"/>
    <w:rsid w:val="005A0EF5"/>
    <w:rsid w:val="005A237C"/>
    <w:rsid w:val="005A26E3"/>
    <w:rsid w:val="005A45D0"/>
    <w:rsid w:val="005B0B31"/>
    <w:rsid w:val="005B64E3"/>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3A9C"/>
    <w:rsid w:val="00736F70"/>
    <w:rsid w:val="00744F32"/>
    <w:rsid w:val="007516EF"/>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0868"/>
    <w:rsid w:val="00804D15"/>
    <w:rsid w:val="008246D8"/>
    <w:rsid w:val="00824E97"/>
    <w:rsid w:val="00825259"/>
    <w:rsid w:val="00834DA8"/>
    <w:rsid w:val="00837192"/>
    <w:rsid w:val="00844973"/>
    <w:rsid w:val="0084698F"/>
    <w:rsid w:val="00846DA6"/>
    <w:rsid w:val="00846E9E"/>
    <w:rsid w:val="008505BC"/>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3DAD"/>
    <w:rsid w:val="008F459D"/>
    <w:rsid w:val="00900F06"/>
    <w:rsid w:val="00904A1E"/>
    <w:rsid w:val="0090685D"/>
    <w:rsid w:val="00913EC6"/>
    <w:rsid w:val="00914225"/>
    <w:rsid w:val="00914411"/>
    <w:rsid w:val="00914957"/>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8410E"/>
    <w:rsid w:val="00B936D9"/>
    <w:rsid w:val="00BA5A06"/>
    <w:rsid w:val="00BB2107"/>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70EBB"/>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447B"/>
    <w:rsid w:val="00D86C13"/>
    <w:rsid w:val="00D95C05"/>
    <w:rsid w:val="00DA335B"/>
    <w:rsid w:val="00DA62BD"/>
    <w:rsid w:val="00DB3D87"/>
    <w:rsid w:val="00DC7252"/>
    <w:rsid w:val="00DD0C88"/>
    <w:rsid w:val="00DD3C69"/>
    <w:rsid w:val="00DD4AF2"/>
    <w:rsid w:val="00DD5F51"/>
    <w:rsid w:val="00DD739B"/>
    <w:rsid w:val="00DE2A58"/>
    <w:rsid w:val="00DF12F7"/>
    <w:rsid w:val="00DF422E"/>
    <w:rsid w:val="00E10391"/>
    <w:rsid w:val="00E20344"/>
    <w:rsid w:val="00E22922"/>
    <w:rsid w:val="00E2313F"/>
    <w:rsid w:val="00E23AB5"/>
    <w:rsid w:val="00E34E9E"/>
    <w:rsid w:val="00E5036A"/>
    <w:rsid w:val="00E543AD"/>
    <w:rsid w:val="00E54C89"/>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C1404"/>
    <w:rsid w:val="00EC148D"/>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0682"/>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0">
    <w:name w:val="Heading1"/>
    <w:basedOn w:val="Heading1"/>
    <w:qFormat/>
    <w:rsid w:val="008F3DAD"/>
    <w:pPr>
      <w:numPr>
        <w:numId w:val="0"/>
      </w:numPr>
      <w:spacing w:before="240" w:after="120"/>
    </w:pPr>
    <w:rPr>
      <w:color w:val="75C104"/>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Heading30">
    <w:name w:val="Heading3"/>
    <w:basedOn w:val="Normal"/>
    <w:link w:val="Heading3Char0"/>
    <w:qFormat/>
    <w:rsid w:val="00800868"/>
    <w:pPr>
      <w:spacing w:before="240"/>
    </w:pPr>
    <w:rPr>
      <w:b/>
      <w:i/>
      <w:color w:val="75C104" w:themeColor="accent6"/>
      <w:sz w:val="18"/>
    </w:rPr>
  </w:style>
  <w:style w:type="character" w:customStyle="1" w:styleId="Heading3Char0">
    <w:name w:val="Heading3 Char"/>
    <w:basedOn w:val="DefaultParagraphFont"/>
    <w:link w:val="Heading30"/>
    <w:rsid w:val="00800868"/>
    <w:rPr>
      <w:rFonts w:cs="Times New Roman (Body CS)"/>
      <w:b/>
      <w:i/>
      <w:color w:val="75C104" w:themeColor="accent6"/>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C148D"/>
    <w:rPr>
      <w:i/>
      <w:color w:val="1C5F69"/>
      <w:sz w:val="16"/>
    </w:rPr>
  </w:style>
  <w:style w:type="character" w:customStyle="1" w:styleId="NoteChar">
    <w:name w:val="Note Char"/>
    <w:basedOn w:val="DefaultParagraphFont"/>
    <w:link w:val="Note"/>
    <w:rsid w:val="00EC148D"/>
    <w:rPr>
      <w:rFonts w:cs="Times New Roman (Body CS)"/>
      <w:i/>
      <w:color w:val="1C5F69"/>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0">
    <w:name w:val="Heading2"/>
    <w:basedOn w:val="Heading2-nonumbers"/>
    <w:qFormat/>
    <w:rsid w:val="008F3DAD"/>
    <w:pPr>
      <w:spacing w:before="240"/>
    </w:pPr>
    <w:rPr>
      <w:color w:val="75C10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0faa3b765bc3ad41758b2d0c38fa1b25">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223fee81cbe4f33532603c1ca066db92"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4.xml><?xml version="1.0" encoding="utf-8"?>
<ds:datastoreItem xmlns:ds="http://schemas.openxmlformats.org/officeDocument/2006/customXml" ds:itemID="{CCC8F36E-89B9-474C-806E-D641BDB54A66}"/>
</file>

<file path=docProps/app.xml><?xml version="1.0" encoding="utf-8"?>
<Properties xmlns="http://schemas.openxmlformats.org/officeDocument/2006/extended-properties" xmlns:vt="http://schemas.openxmlformats.org/officeDocument/2006/docPropsVTypes">
  <Template>Normal</Template>
  <TotalTime>737</TotalTime>
  <Pages>2</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173</cp:revision>
  <cp:lastPrinted>2022-04-29T02:04:00Z</cp:lastPrinted>
  <dcterms:created xsi:type="dcterms:W3CDTF">2022-07-06T04:09:00Z</dcterms:created>
  <dcterms:modified xsi:type="dcterms:W3CDTF">2026-01-05T23:23:00Z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y fmtid="{D5CDD505-2E9C-101B-9397-08002B2CF9AE}" pid="5" name="docLang">
    <vt:lpwstr>en</vt:lpwstr>
  </property>
</Properties>
</file>