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Euree Growth Portfolio</w:t>
      </w:r>
      <w:r>
        <w:tab/>
      </w:r>
      <w:r>
        <w:t>30 June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 (p.a.)</w:t>
            </w:r>
          </w:p>
        </w:tc>
      </w:tr>
      <w:tr>
        <w:tc>
          <w:tcPr>
            <w:tcW w:type="dxa" w:w="2551"/>
          </w:tcPr>
          <w:p>
            <w:r>
              <w:t>Euree_Growth</w:t>
            </w:r>
          </w:p>
        </w:tc>
        <w:tc>
          <w:tcPr>
            <w:tcW w:type="dxa" w:w="2055"/>
          </w:tcPr>
          <w:p>
            <w:r>
              <w:rPr>
                <w:b/>
              </w:rPr>
              <w:t>6.23</w:t>
            </w:r>
          </w:p>
        </w:tc>
        <w:tc>
          <w:tcPr>
            <w:tcW w:type="dxa" w:w="2055"/>
          </w:tcPr>
          <w:p>
            <w:r>
              <w:rPr>
                <w:b/>
              </w:rPr>
              <w:t>5.66</w:t>
            </w:r>
          </w:p>
        </w:tc>
        <w:tc>
          <w:tcPr>
            <w:tcW w:type="dxa" w:w="2055"/>
          </w:tcPr>
          <w:p>
            <w:r>
              <w:rPr>
                <w:b/>
              </w:rPr>
              <w:t>13.16</w:t>
            </w:r>
          </w:p>
        </w:tc>
        <w:tc>
          <w:tcPr>
            <w:tcW w:type="dxa" w:w="2055"/>
          </w:tcPr>
          <w:p>
            <w:r>
              <w:rPr>
                <w:b/>
              </w:rPr>
              <w:t>14.08</w:t>
            </w:r>
          </w:p>
        </w:tc>
      </w:tr>
      <w:tr>
        <w:tc>
          <w:tcPr>
            <w:tcW w:type="dxa" w:w="2551"/>
          </w:tcPr>
          <w:p>
            <w:r>
              <w:t>Peer Group</w:t>
            </w:r>
          </w:p>
        </w:tc>
        <w:tc>
          <w:tcPr>
            <w:tcW w:type="dxa" w:w="2055"/>
          </w:tcPr>
          <w:p>
            <w:r>
              <w:t>4.99</w:t>
            </w:r>
          </w:p>
        </w:tc>
        <w:tc>
          <w:tcPr>
            <w:tcW w:type="dxa" w:w="2055"/>
          </w:tcPr>
          <w:p>
            <w:r>
              <w:t>3.95</w:t>
            </w:r>
          </w:p>
        </w:tc>
        <w:tc>
          <w:tcPr>
            <w:tcW w:type="dxa" w:w="2055"/>
          </w:tcPr>
          <w:p>
            <w:r>
              <w:t>10.28</w:t>
            </w:r>
          </w:p>
        </w:tc>
        <w:tc>
          <w:tcPr>
            <w:tcW w:type="dxa" w:w="2055"/>
          </w:tcPr>
          <w:p>
            <w:r>
              <w:t>10.97</w:t>
            </w:r>
          </w:p>
        </w:tc>
      </w:tr>
      <w:tr>
        <w:tc>
          <w:tcPr>
            <w:tcW w:type="dxa" w:w="2551"/>
          </w:tcPr>
          <w:p>
            <w:r>
              <w:t>Inflation</w:t>
            </w:r>
          </w:p>
        </w:tc>
        <w:tc>
          <w:tcPr>
            <w:tcW w:type="dxa" w:w="2055"/>
          </w:tcPr>
          <w:p>
            <w:r>
              <w:t>1.35</w:t>
            </w:r>
          </w:p>
        </w:tc>
        <w:tc>
          <w:tcPr>
            <w:tcW w:type="dxa" w:w="2055"/>
          </w:tcPr>
          <w:p>
            <w:r>
              <w:t>1.45</w:t>
            </w:r>
          </w:p>
        </w:tc>
        <w:tc>
          <w:tcPr>
            <w:tcW w:type="dxa" w:w="2055"/>
          </w:tcPr>
          <w:p>
            <w:r>
              <w:t>2.1</w:t>
            </w:r>
          </w:p>
        </w:tc>
        <w:tc>
          <w:tcPr>
            <w:tcW w:type="dxa" w:w="2055"/>
          </w:tcPr>
          <w:p>
            <w:r>
              <w:t>3.35</w:t>
            </w:r>
          </w:p>
        </w:tc>
      </w:tr>
      <w:tr>
        <w:tc>
          <w:tcPr>
            <w:tcW w:type="dxa" w:w="2551"/>
          </w:tcPr>
          <w:p>
            <w:r>
              <w:t>Outperformance vs Peers</w:t>
            </w:r>
          </w:p>
        </w:tc>
        <w:tc>
          <w:tcPr>
            <w:tcW w:type="dxa" w:w="2055"/>
          </w:tcPr>
          <w:p>
            <w:r>
              <w:t>1.24</w:t>
            </w:r>
          </w:p>
        </w:tc>
        <w:tc>
          <w:tcPr>
            <w:tcW w:type="dxa" w:w="2055"/>
          </w:tcPr>
          <w:p>
            <w:r>
              <w:t>1.71</w:t>
            </w:r>
          </w:p>
        </w:tc>
        <w:tc>
          <w:tcPr>
            <w:tcW w:type="dxa" w:w="2055"/>
          </w:tcPr>
          <w:p>
            <w:r>
              <w:t>2.89</w:t>
            </w:r>
          </w:p>
        </w:tc>
        <w:tc>
          <w:tcPr>
            <w:tcW w:type="dxa" w:w="2055"/>
          </w:tcPr>
          <w:p>
            <w:r>
              <w:t>3.11</w:t>
            </w:r>
          </w:p>
        </w:tc>
      </w:tr>
      <w:tr>
        <w:tc>
          <w:tcPr>
            <w:tcW w:type="dxa" w:w="2551"/>
          </w:tcPr>
          <w:p>
            <w:r>
              <w:t>Outperformance vs Inflation</w:t>
            </w:r>
          </w:p>
        </w:tc>
        <w:tc>
          <w:tcPr>
            <w:tcW w:type="dxa" w:w="2055"/>
          </w:tcPr>
          <w:p>
            <w:r>
              <w:t>4.88</w:t>
            </w:r>
          </w:p>
        </w:tc>
        <w:tc>
          <w:tcPr>
            <w:tcW w:type="dxa" w:w="2055"/>
          </w:tcPr>
          <w:p>
            <w:r>
              <w:t>4.21</w:t>
            </w:r>
          </w:p>
        </w:tc>
        <w:tc>
          <w:tcPr>
            <w:tcW w:type="dxa" w:w="2055"/>
          </w:tcPr>
          <w:p>
            <w:r>
              <w:t>11.06</w:t>
            </w:r>
          </w:p>
        </w:tc>
        <w:tc>
          <w:tcPr>
            <w:tcW w:type="dxa" w:w="2055"/>
          </w:tcPr>
          <w:p>
            <w:r>
              <w:t>10.74</w:t>
            </w:r>
          </w:p>
        </w:tc>
      </w:tr>
    </w:tbl>
    <w:p>
      <w:pPr>
        <w:pStyle w:val="Note"/>
      </w:pPr>
      <w:r>
        <w:t>Inception Date: 22 August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Euree</w:t>
            </w:r>
          </w:p>
        </w:tc>
      </w:tr>
      <w:tr>
        <w:tc>
          <w:tcPr>
            <w:tcW w:type="dxa" w:w="2268"/>
          </w:tcPr>
          <w:p>
            <w:r>
              <w:t>Benchmark</w:t>
            </w:r>
          </w:p>
        </w:tc>
        <w:tc>
          <w:tcPr>
            <w:tcW w:type="dxa" w:w="3118"/>
          </w:tcPr>
          <w:p>
            <w:r>
              <w:t>nan</w:t>
            </w:r>
          </w:p>
        </w:tc>
      </w:tr>
      <w:tr>
        <w:tc>
          <w:tcPr>
            <w:tcW w:type="dxa" w:w="2268"/>
          </w:tcPr>
          <w:p>
            <w:r>
              <w:t>Inception Date</w:t>
            </w:r>
          </w:p>
        </w:tc>
        <w:tc>
          <w:tcPr>
            <w:tcW w:type="dxa" w:w="3118"/>
          </w:tcPr>
          <w:p>
            <w:r>
              <w:t>22 August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r>
        <w:tc>
          <w:tcPr>
            <w:tcW w:type="dxa" w:w="1417"/>
          </w:tcPr>
          <w:p>
            <w:r>
              <w:t>QRI-AU</w:t>
            </w:r>
          </w:p>
        </w:tc>
        <w:tc>
          <w:tcPr>
            <w:tcW w:type="dxa" w:w="3685"/>
          </w:tcPr>
          <w:p>
            <w:r>
              <w:t>Qualitas Real Estate Income Fund</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CSL-AU</w:t>
            </w:r>
          </w:p>
        </w:tc>
        <w:tc>
          <w:tcPr>
            <w:tcW w:type="dxa" w:w="3685"/>
          </w:tcPr>
          <w:p>
            <w:r>
              <w:t>CSL Limited</w:t>
            </w:r>
          </w:p>
        </w:tc>
      </w:tr>
      <w:tr>
        <w:tc>
          <w:tcPr>
            <w:tcW w:type="dxa" w:w="1417"/>
          </w:tcPr>
          <w:p>
            <w:r>
              <w:t>NAB-AU</w:t>
            </w:r>
          </w:p>
        </w:tc>
        <w:tc>
          <w:tcPr>
            <w:tcW w:type="dxa" w:w="3685"/>
          </w:tcPr>
          <w:p>
            <w:r>
              <w:t>National Australia Bank Limited</w:t>
            </w:r>
          </w:p>
        </w:tc>
      </w:tr>
      <w:tr>
        <w:tc>
          <w:tcPr>
            <w:tcW w:type="dxa" w:w="1417"/>
          </w:tcPr>
          <w:p>
            <w:r>
              <w:t>WBC-AU</w:t>
            </w:r>
          </w:p>
        </w:tc>
        <w:tc>
          <w:tcPr>
            <w:tcW w:type="dxa" w:w="3685"/>
          </w:tcPr>
          <w:p>
            <w:r>
              <w:t>Westpac Banking Corporation</w:t>
            </w:r>
          </w:p>
        </w:tc>
      </w:tr>
      <w:tr>
        <w:tc>
          <w:tcPr>
            <w:tcW w:type="dxa" w:w="1417"/>
          </w:tcPr>
          <w:p>
            <w:r>
              <w:t>ANZ-AU</w:t>
            </w:r>
          </w:p>
        </w:tc>
        <w:tc>
          <w:tcPr>
            <w:tcW w:type="dxa" w:w="3685"/>
          </w:tcPr>
          <w:p>
            <w:r>
              <w:t>ANZ Group Holdings Limited</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r>
        <w:tc>
          <w:tcPr>
            <w:tcW w:type="dxa" w:w="1417"/>
          </w:tcPr>
          <w:p>
            <w:r>
              <w:t>MQG-AU</w:t>
            </w:r>
          </w:p>
        </w:tc>
        <w:tc>
          <w:tcPr>
            <w:tcW w:type="dxa" w:w="3685"/>
          </w:tcPr>
          <w:p>
            <w:r>
              <w:t>Macquarie Group Limited</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Asset Class Performance</w:t>
      </w:r>
    </w:p>
    <w:tbl>
      <w:tblPr>
        <w:tblStyle w:val="AtchisonTable1"/>
        <w:tblW w:type="auto" w:w="0"/>
        <w:tblLook w:firstColumn="1" w:firstRow="1" w:lastColumn="0" w:lastRow="0" w:noHBand="0" w:noVBand="1" w:val="04A0"/>
      </w:tblPr>
      <w:tblGrid>
        <w:gridCol w:w="5528"/>
        <w:gridCol w:w="5528"/>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10.36</w:t>
            </w:r>
          </w:p>
        </w:tc>
      </w:tr>
      <w:tr>
        <w:tc>
          <w:tcPr>
            <w:tcW w:type="dxa" w:w="1984"/>
          </w:tcPr>
          <w:p>
            <w:r>
              <w:t>International Shares</w:t>
            </w:r>
          </w:p>
        </w:tc>
        <w:tc>
          <w:tcPr>
            <w:tcW w:type="dxa" w:w="3118"/>
          </w:tcPr>
          <w:p>
            <w:r>
              <w:t>14.37</w:t>
            </w:r>
          </w:p>
        </w:tc>
      </w:tr>
      <w:tr>
        <w:tc>
          <w:tcPr>
            <w:tcW w:type="dxa" w:w="1984"/>
          </w:tcPr>
          <w:p>
            <w:r>
              <w:t>Real Assets</w:t>
            </w:r>
          </w:p>
        </w:tc>
        <w:tc>
          <w:tcPr>
            <w:tcW w:type="dxa" w:w="3118"/>
          </w:tcPr>
          <w:p>
            <w:r>
              <w:t>16.29</w:t>
            </w:r>
          </w:p>
        </w:tc>
      </w:tr>
      <w:tr>
        <w:tc>
          <w:tcPr>
            <w:tcW w:type="dxa" w:w="1984"/>
          </w:tcPr>
          <w:p>
            <w:r>
              <w:t>Alternatives</w:t>
            </w:r>
          </w:p>
        </w:tc>
        <w:tc>
          <w:tcPr>
            <w:tcW w:type="dxa" w:w="3118"/>
          </w:tcPr>
          <w:p>
            <w:r>
              <w:t>30.18</w:t>
            </w:r>
          </w:p>
        </w:tc>
      </w:tr>
      <w:tr>
        <w:tc>
          <w:tcPr>
            <w:tcW w:type="dxa" w:w="1984"/>
          </w:tcPr>
          <w:p>
            <w:r>
              <w:t>Long Duration</w:t>
            </w:r>
          </w:p>
        </w:tc>
        <w:tc>
          <w:tcPr>
            <w:tcW w:type="dxa" w:w="3118"/>
          </w:tcPr>
          <w:p>
            <w:r>
              <w:t>4.9</w:t>
            </w:r>
          </w:p>
        </w:tc>
      </w:tr>
      <w:tr>
        <w:tc>
          <w:tcPr>
            <w:tcW w:type="dxa" w:w="1984"/>
          </w:tcPr>
          <w:p>
            <w:r>
              <w:t>Floating Rate</w:t>
            </w:r>
          </w:p>
        </w:tc>
        <w:tc>
          <w:tcPr>
            <w:tcW w:type="dxa" w:w="3118"/>
          </w:tcPr>
          <w:p>
            <w:r>
              <w:t>6.29</w:t>
            </w:r>
          </w:p>
        </w:tc>
      </w:tr>
      <w:tr>
        <w:tc>
          <w:tcPr>
            <w:tcW w:type="dxa" w:w="1984"/>
          </w:tcPr>
          <w:p>
            <w:r>
              <w:t>Cash</w:t>
            </w:r>
          </w:p>
        </w:tc>
        <w:tc>
          <w:tcPr>
            <w:tcW w:type="dxa" w:w="3118"/>
          </w:tcPr>
          <w:p>
            <w:r>
              <w:t>4.55</w:t>
            </w:r>
          </w:p>
        </w:tc>
      </w:tr>
    </w:tbl>
    <w:p>
      <w:pPr>
        <w:pStyle w:val="Note"/>
      </w:pPr>
      <w:r>
        <w:t>Inception Date: 22 August 2023</w:t>
      </w:r>
    </w:p>
    <w:p>
      <w:pPr>
        <w:pStyle w:val="Heading3"/>
      </w:pPr>
      <w:r>
        <w:t>Portfolio Construction</w:t>
      </w:r>
    </w:p>
    <w:p>
      <w:r>
        <w:drawing>
          <wp:inline xmlns:a="http://schemas.openxmlformats.org/drawingml/2006/main" xmlns:pic="http://schemas.openxmlformats.org/drawingml/2006/picture">
            <wp:extent cx="3240000" cy="324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3240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13.75</w:t>
            </w:r>
          </w:p>
        </w:tc>
        <w:tc>
          <w:tcPr>
            <w:tcW w:type="dxa" w:w="1417"/>
          </w:tcPr>
          <w:p>
            <w:r>
              <w:t>13.37</w:t>
            </w:r>
          </w:p>
        </w:tc>
      </w:tr>
      <w:tr>
        <w:tc>
          <w:tcPr>
            <w:tcW w:type="dxa" w:w="2268"/>
          </w:tcPr>
          <w:p>
            <w:r>
              <w:t>Merlon Conentated AusEq</w:t>
            </w:r>
          </w:p>
        </w:tc>
        <w:tc>
          <w:tcPr>
            <w:tcW w:type="dxa" w:w="1417"/>
          </w:tcPr>
          <w:p>
            <w:r>
              <w:t>9.01</w:t>
            </w:r>
          </w:p>
        </w:tc>
        <w:tc>
          <w:tcPr>
            <w:tcW w:type="dxa" w:w="1417"/>
          </w:tcPr>
          <w:p>
            <w:r>
              <w:t>9.92</w:t>
            </w:r>
          </w:p>
        </w:tc>
      </w:tr>
      <w:tr>
        <w:tc>
          <w:tcPr>
            <w:tcW w:type="dxa" w:w="2268"/>
          </w:tcPr>
          <w:p>
            <w:r>
              <w:rPr>
                <w:b/>
              </w:rPr>
              <w:t>BM: Australian Shares</w:t>
            </w:r>
          </w:p>
        </w:tc>
        <w:tc>
          <w:tcPr>
            <w:tcW w:type="dxa" w:w="1417"/>
          </w:tcPr>
          <w:p>
            <w:r>
              <w:rPr>
                <w:b/>
              </w:rPr>
              <w:t>13.73</w:t>
            </w:r>
          </w:p>
        </w:tc>
        <w:tc>
          <w:tcPr>
            <w:tcW w:type="dxa" w:w="1417"/>
          </w:tcPr>
          <w:p>
            <w:r>
              <w:rPr>
                <w:b/>
              </w:rPr>
              <w:t>13.33</w:t>
            </w:r>
          </w:p>
        </w:tc>
      </w:tr>
      <w:tr>
        <w:tc>
          <w:tcPr>
            <w:tcW w:type="dxa" w:w="2268"/>
          </w:tcPr>
          <w:p>
            <w:r>
              <w:t>VG MSCI World</w:t>
            </w:r>
          </w:p>
        </w:tc>
        <w:tc>
          <w:tcPr>
            <w:tcW w:type="dxa" w:w="1417"/>
          </w:tcPr>
          <w:p>
            <w:r>
              <w:t>17.09</w:t>
            </w:r>
          </w:p>
        </w:tc>
        <w:tc>
          <w:tcPr>
            <w:tcW w:type="dxa" w:w="1417"/>
          </w:tcPr>
          <w:p>
            <w:r>
              <w:t>18.26</w:t>
            </w:r>
          </w:p>
        </w:tc>
      </w:tr>
      <w:tr>
        <w:tc>
          <w:tcPr>
            <w:tcW w:type="dxa" w:w="2268"/>
          </w:tcPr>
          <w:p>
            <w:r>
              <w:t xml:space="preserve">VG MSCI World Hedged </w:t>
            </w:r>
          </w:p>
        </w:tc>
        <w:tc>
          <w:tcPr>
            <w:tcW w:type="dxa" w:w="1417"/>
          </w:tcPr>
          <w:p>
            <w:r>
              <w:t>12.68</w:t>
            </w:r>
          </w:p>
        </w:tc>
        <w:tc>
          <w:tcPr>
            <w:tcW w:type="dxa" w:w="1417"/>
          </w:tcPr>
          <w:p>
            <w:r>
              <w:t>18.13</w:t>
            </w:r>
          </w:p>
        </w:tc>
      </w:tr>
      <w:tr>
        <w:tc>
          <w:tcPr>
            <w:tcW w:type="dxa" w:w="2268"/>
          </w:tcPr>
          <w:p>
            <w:r>
              <w:t>Capital Group New H</w:t>
            </w:r>
          </w:p>
        </w:tc>
        <w:tc>
          <w:tcPr>
            <w:tcW w:type="dxa" w:w="1417"/>
          </w:tcPr>
          <w:p>
            <w:r>
              <w:t>12.58</w:t>
            </w:r>
          </w:p>
        </w:tc>
        <w:tc>
          <w:tcPr>
            <w:tcW w:type="dxa" w:w="1417"/>
          </w:tcPr>
          <w:p>
            <w:r>
              <w:t>16.32</w:t>
            </w:r>
          </w:p>
        </w:tc>
      </w:tr>
      <w:tr>
        <w:tc>
          <w:tcPr>
            <w:tcW w:type="dxa" w:w="2268"/>
          </w:tcPr>
          <w:p>
            <w:r>
              <w:t>Fidelity EM</w:t>
            </w:r>
          </w:p>
        </w:tc>
        <w:tc>
          <w:tcPr>
            <w:tcW w:type="dxa" w:w="1417"/>
          </w:tcPr>
          <w:p>
            <w:r>
              <w:t>14.04</w:t>
            </w:r>
          </w:p>
        </w:tc>
        <w:tc>
          <w:tcPr>
            <w:tcW w:type="dxa" w:w="1417"/>
          </w:tcPr>
          <w:p>
            <w:r>
              <w:t>6.59</w:t>
            </w:r>
          </w:p>
        </w:tc>
      </w:tr>
      <w:tr>
        <w:tc>
          <w:tcPr>
            <w:tcW w:type="dxa" w:w="2268"/>
          </w:tcPr>
          <w:p>
            <w:r>
              <w:t>CapGroup New Persp</w:t>
            </w:r>
          </w:p>
        </w:tc>
        <w:tc>
          <w:tcPr>
            <w:tcW w:type="dxa" w:w="1417"/>
          </w:tcPr>
          <w:p>
            <w:r>
              <w:t>18.76</w:t>
            </w:r>
          </w:p>
        </w:tc>
        <w:tc>
          <w:tcPr>
            <w:tcW w:type="dxa" w:w="1417"/>
          </w:tcPr>
          <w:p>
            <w:r>
              <w:t>17.37</w:t>
            </w:r>
          </w:p>
        </w:tc>
      </w:tr>
      <w:tr>
        <w:tc>
          <w:tcPr>
            <w:tcW w:type="dxa" w:w="2268"/>
          </w:tcPr>
          <w:p>
            <w:r>
              <w:t>VG Int Smalls</w:t>
            </w:r>
          </w:p>
        </w:tc>
        <w:tc>
          <w:tcPr>
            <w:tcW w:type="dxa" w:w="1417"/>
          </w:tcPr>
          <w:p>
            <w:r>
              <w:t>16.45</w:t>
            </w:r>
          </w:p>
        </w:tc>
        <w:tc>
          <w:tcPr>
            <w:tcW w:type="dxa" w:w="1417"/>
          </w:tcPr>
          <w:p>
            <w:r>
              <w:t>11.76</w:t>
            </w:r>
          </w:p>
        </w:tc>
      </w:tr>
      <w:tr>
        <w:tc>
          <w:tcPr>
            <w:tcW w:type="dxa" w:w="2268"/>
          </w:tcPr>
          <w:p>
            <w:r>
              <w:rPr>
                <w:b/>
              </w:rPr>
              <w:t>BM: International Shares</w:t>
            </w:r>
          </w:p>
        </w:tc>
        <w:tc>
          <w:tcPr>
            <w:tcW w:type="dxa" w:w="1417"/>
          </w:tcPr>
          <w:p>
            <w:r>
              <w:rPr>
                <w:b/>
              </w:rPr>
              <w:t>18.66</w:t>
            </w:r>
          </w:p>
        </w:tc>
        <w:tc>
          <w:tcPr>
            <w:tcW w:type="dxa" w:w="1417"/>
          </w:tcPr>
          <w:p>
            <w:r>
              <w:rPr>
                <w:b/>
              </w:rPr>
              <w:t>17.19</w:t>
            </w:r>
          </w:p>
        </w:tc>
      </w:tr>
      <w:tr>
        <w:tc>
          <w:tcPr>
            <w:tcW w:type="dxa" w:w="2268"/>
          </w:tcPr>
          <w:p>
            <w:r>
              <w:t>VanEck Glb Infra H</w:t>
            </w:r>
          </w:p>
        </w:tc>
        <w:tc>
          <w:tcPr>
            <w:tcW w:type="dxa" w:w="1417"/>
          </w:tcPr>
          <w:p>
            <w:r>
              <w:t>15.28</w:t>
            </w:r>
          </w:p>
        </w:tc>
        <w:tc>
          <w:tcPr>
            <w:tcW w:type="dxa" w:w="1417"/>
          </w:tcPr>
          <w:p>
            <w:r>
              <w:t>11.25</w:t>
            </w:r>
          </w:p>
        </w:tc>
      </w:tr>
      <w:tr>
        <w:tc>
          <w:tcPr>
            <w:tcW w:type="dxa" w:w="2268"/>
          </w:tcPr>
          <w:p>
            <w:r>
              <w:t>RARE Infra Income</w:t>
            </w:r>
          </w:p>
        </w:tc>
        <w:tc>
          <w:tcPr>
            <w:tcW w:type="dxa" w:w="1417"/>
          </w:tcPr>
          <w:p>
            <w:r>
              <w:t>26.54</w:t>
            </w:r>
          </w:p>
        </w:tc>
        <w:tc>
          <w:tcPr>
            <w:tcW w:type="dxa" w:w="1417"/>
          </w:tcPr>
          <w:p>
            <w:r>
              <w:t>13.53</w:t>
            </w:r>
          </w:p>
        </w:tc>
      </w:tr>
      <w:tr>
        <w:tc>
          <w:tcPr>
            <w:tcW w:type="dxa" w:w="2268"/>
          </w:tcPr>
          <w:p>
            <w:r>
              <w:t>Qualitas Prop Inc</w:t>
            </w:r>
          </w:p>
        </w:tc>
        <w:tc>
          <w:tcPr>
            <w:tcW w:type="dxa" w:w="1417"/>
          </w:tcPr>
          <w:p>
            <w:r>
              <w:t>7.51</w:t>
            </w:r>
          </w:p>
        </w:tc>
        <w:tc>
          <w:tcPr>
            <w:tcW w:type="dxa" w:w="1417"/>
          </w:tcPr>
          <w:p>
            <w:r>
              <w:t>10.45</w:t>
            </w:r>
          </w:p>
        </w:tc>
      </w:tr>
      <w:tr>
        <w:tc>
          <w:tcPr>
            <w:tcW w:type="dxa" w:w="2268"/>
          </w:tcPr>
          <w:p>
            <w:r>
              <w:rPr>
                <w:b/>
              </w:rPr>
              <w:t>BM: Real Assets</w:t>
            </w:r>
          </w:p>
        </w:tc>
        <w:tc>
          <w:tcPr>
            <w:tcW w:type="dxa" w:w="1417"/>
          </w:tcPr>
          <w:p>
            <w:r>
              <w:rPr>
                <w:b/>
              </w:rPr>
              <w:t>9.37</w:t>
            </w:r>
          </w:p>
        </w:tc>
        <w:tc>
          <w:tcPr>
            <w:tcW w:type="dxa" w:w="1417"/>
          </w:tcPr>
          <w:p>
            <w:r>
              <w:rPr>
                <w:b/>
              </w:rPr>
              <w:t>9.3</w:t>
            </w:r>
          </w:p>
        </w:tc>
      </w:tr>
      <w:tr>
        <w:tc>
          <w:tcPr>
            <w:tcW w:type="dxa" w:w="2268"/>
          </w:tcPr>
          <w:p>
            <w:r>
              <w:t>ETFS Physical Gold</w:t>
            </w:r>
          </w:p>
        </w:tc>
        <w:tc>
          <w:tcPr>
            <w:tcW w:type="dxa" w:w="1417"/>
          </w:tcPr>
          <w:p>
            <w:r>
              <w:t>42.48</w:t>
            </w:r>
          </w:p>
        </w:tc>
        <w:tc>
          <w:tcPr>
            <w:tcW w:type="dxa" w:w="1417"/>
          </w:tcPr>
          <w:p>
            <w:r>
              <w:t>29.9</w:t>
            </w:r>
          </w:p>
        </w:tc>
      </w:tr>
      <w:tr>
        <w:tc>
          <w:tcPr>
            <w:tcW w:type="dxa" w:w="2268"/>
          </w:tcPr>
          <w:p>
            <w:r>
              <w:t>Janus Gbl Multi Strat</w:t>
            </w:r>
          </w:p>
        </w:tc>
        <w:tc>
          <w:tcPr>
            <w:tcW w:type="dxa" w:w="1417"/>
          </w:tcPr>
          <w:p>
            <w:r>
              <w:t>8.73</w:t>
            </w:r>
          </w:p>
        </w:tc>
        <w:tc>
          <w:tcPr>
            <w:tcW w:type="dxa" w:w="1417"/>
          </w:tcPr>
          <w:p>
            <w:r>
              <w:t>3.16</w:t>
            </w:r>
          </w:p>
        </w:tc>
      </w:tr>
      <w:tr>
        <w:tc>
          <w:tcPr>
            <w:tcW w:type="dxa" w:w="2268"/>
          </w:tcPr>
          <w:p>
            <w:r>
              <w:rPr>
                <w:b/>
              </w:rPr>
              <w:t>BM: Alternatives</w:t>
            </w:r>
          </w:p>
        </w:tc>
        <w:tc>
          <w:tcPr>
            <w:tcW w:type="dxa" w:w="1417"/>
          </w:tcPr>
          <w:p>
            <w:r>
              <w:rPr>
                <w:b/>
              </w:rPr>
              <w:t>4.51</w:t>
            </w:r>
          </w:p>
        </w:tc>
        <w:tc>
          <w:tcPr>
            <w:tcW w:type="dxa" w:w="1417"/>
          </w:tcPr>
          <w:p>
            <w:r>
              <w:rPr>
                <w:b/>
              </w:rPr>
              <w:t>4.15</w:t>
            </w:r>
          </w:p>
        </w:tc>
      </w:tr>
      <w:tr>
        <w:tc>
          <w:tcPr>
            <w:tcW w:type="dxa" w:w="2268"/>
          </w:tcPr>
          <w:p>
            <w:r>
              <w:t>iShares Aus Bond</w:t>
            </w:r>
          </w:p>
        </w:tc>
        <w:tc>
          <w:tcPr>
            <w:tcW w:type="dxa" w:w="1417"/>
          </w:tcPr>
          <w:p>
            <w:r>
              <w:t>6.91</w:t>
            </w:r>
          </w:p>
        </w:tc>
        <w:tc>
          <w:tcPr>
            <w:tcW w:type="dxa" w:w="1417"/>
          </w:tcPr>
          <w:p>
            <w:r>
              <w:t>5.14</w:t>
            </w:r>
          </w:p>
        </w:tc>
      </w:tr>
      <w:tr>
        <w:tc>
          <w:tcPr>
            <w:tcW w:type="dxa" w:w="2268"/>
          </w:tcPr>
          <w:p>
            <w:r>
              <w:t>VG Global Agg</w:t>
            </w:r>
          </w:p>
        </w:tc>
        <w:tc>
          <w:tcPr>
            <w:tcW w:type="dxa" w:w="1417"/>
          </w:tcPr>
          <w:p>
            <w:r>
              <w:t>4.8</w:t>
            </w:r>
          </w:p>
        </w:tc>
        <w:tc>
          <w:tcPr>
            <w:tcW w:type="dxa" w:w="1417"/>
          </w:tcPr>
          <w:p>
            <w:r>
              <w:t>4.48</w:t>
            </w:r>
          </w:p>
        </w:tc>
      </w:tr>
      <w:tr>
        <w:tc>
          <w:tcPr>
            <w:tcW w:type="dxa" w:w="2268"/>
          </w:tcPr>
          <w:p>
            <w:r>
              <w:t>iShares Aus Bond</w:t>
            </w:r>
          </w:p>
        </w:tc>
        <w:tc>
          <w:tcPr>
            <w:tcW w:type="dxa" w:w="1417"/>
          </w:tcPr>
          <w:p>
            <w:r>
              <w:t>5.23</w:t>
            </w:r>
          </w:p>
        </w:tc>
        <w:tc>
          <w:tcPr>
            <w:tcW w:type="dxa" w:w="1417"/>
          </w:tcPr>
          <w:p>
            <w:r>
              <w:t>4.37</w:t>
            </w:r>
          </w:p>
        </w:tc>
      </w:tr>
      <w:tr>
        <w:tc>
          <w:tcPr>
            <w:tcW w:type="dxa" w:w="2268"/>
          </w:tcPr>
          <w:p>
            <w:r>
              <w:t>iShares Glb Bond</w:t>
            </w:r>
          </w:p>
        </w:tc>
        <w:tc>
          <w:tcPr>
            <w:tcW w:type="dxa" w:w="1417"/>
          </w:tcPr>
          <w:p>
            <w:r>
              <w:t>3.4</w:t>
            </w:r>
          </w:p>
        </w:tc>
        <w:tc>
          <w:tcPr>
            <w:tcW w:type="dxa" w:w="1417"/>
          </w:tcPr>
          <w:p>
            <w:r>
              <w:t>3.8</w:t>
            </w:r>
          </w:p>
        </w:tc>
      </w:tr>
      <w:tr>
        <w:tc>
          <w:tcPr>
            <w:tcW w:type="dxa" w:w="2268"/>
          </w:tcPr>
          <w:p>
            <w:r>
              <w:rPr>
                <w:b/>
              </w:rPr>
              <w:t>BM: Duration</w:t>
            </w:r>
          </w:p>
        </w:tc>
        <w:tc>
          <w:tcPr>
            <w:tcW w:type="dxa" w:w="1417"/>
          </w:tcPr>
          <w:p>
            <w:r>
              <w:rPr>
                <w:b/>
              </w:rPr>
              <w:t>6.02</w:t>
            </w:r>
          </w:p>
        </w:tc>
        <w:tc>
          <w:tcPr>
            <w:tcW w:type="dxa" w:w="1417"/>
          </w:tcPr>
          <w:p>
            <w:r>
              <w:rPr>
                <w:b/>
              </w:rPr>
              <w:t>4.93</w:t>
            </w:r>
          </w:p>
        </w:tc>
      </w:tr>
      <w:tr>
        <w:tc>
          <w:tcPr>
            <w:tcW w:type="dxa" w:w="2268"/>
          </w:tcPr>
          <w:p>
            <w:r>
              <w:t>Janus Tactical Inc</w:t>
            </w:r>
          </w:p>
        </w:tc>
        <w:tc>
          <w:tcPr>
            <w:tcW w:type="dxa" w:w="1417"/>
          </w:tcPr>
          <w:p>
            <w:r>
              <w:t>6.43</w:t>
            </w:r>
          </w:p>
        </w:tc>
        <w:tc>
          <w:tcPr>
            <w:tcW w:type="dxa" w:w="1417"/>
          </w:tcPr>
          <w:p>
            <w:r>
              <w:t>5.64</w:t>
            </w:r>
          </w:p>
        </w:tc>
      </w:tr>
      <w:tr>
        <w:tc>
          <w:tcPr>
            <w:tcW w:type="dxa" w:w="2268"/>
          </w:tcPr>
          <w:p>
            <w:r>
              <w:rPr>
                <w:b/>
              </w:rPr>
              <w:t>BM: Floating</w:t>
            </w:r>
          </w:p>
        </w:tc>
        <w:tc>
          <w:tcPr>
            <w:tcW w:type="dxa" w:w="1417"/>
          </w:tcPr>
          <w:p>
            <w:r>
              <w:rPr>
                <w:b/>
              </w:rPr>
              <w:t>5.12</w:t>
            </w:r>
          </w:p>
        </w:tc>
        <w:tc>
          <w:tcPr>
            <w:tcW w:type="dxa" w:w="1417"/>
          </w:tcPr>
          <w:p>
            <w:r>
              <w:rPr>
                <w:b/>
              </w:rPr>
              <w:t>4.83</w:t>
            </w:r>
          </w:p>
        </w:tc>
      </w:tr>
      <w:tr>
        <w:tc>
          <w:tcPr>
            <w:tcW w:type="dxa" w:w="2268"/>
          </w:tcPr>
          <w:p>
            <w:r>
              <w:t>Cash</w:t>
            </w:r>
          </w:p>
        </w:tc>
        <w:tc>
          <w:tcPr>
            <w:tcW w:type="dxa" w:w="1417"/>
          </w:tcPr>
          <w:p>
            <w:r>
              <w:t>4.51</w:t>
            </w:r>
          </w:p>
        </w:tc>
        <w:tc>
          <w:tcPr>
            <w:tcW w:type="dxa" w:w="1417"/>
          </w:tcPr>
          <w:p>
            <w:r>
              <w:t>4.15</w:t>
            </w:r>
          </w:p>
        </w:tc>
      </w:tr>
    </w:tbl>
    <w:p>
      <w:pPr>
        <w:pStyle w:val="Note"/>
      </w:pPr>
      <w:r>
        <w:t>Inception Date: 22 August 2023</w:t>
      </w:r>
    </w:p>
    <w:p>
      <w:pPr>
        <w:pStyle w:val="BodyStyle"/>
      </w:pPr>
      <w:r>
        <w:t>Underlying investment manager returns are shown after fees and before tax</w:t>
      </w:r>
    </w:p>
    <w:br w:type="column"/>
    <w:p>
      <w:pPr>
        <w:pStyle w:val="Heading2"/>
      </w:pPr>
      <w:r>
        <w:t>Market Update</w:t>
      </w:r>
    </w:p>
    <w:p>
      <w:pPr>
        <w:pStyle w:val="BodyStyle"/>
      </w:pPr>
      <w:r>
        <w:t>The Australian share market rose for the third consecutive month rising a modest +1.1% for the month but a stellar +16% since April and +10.2% for the 12 months to June 2025, after a +7.8% rise one year earlier and +9.6% in the year end June 2023. Performance during the year was mainly driven by technology and financial sectors.</w:t>
        <w:br/>
        <w:br/>
        <w:t>Australia’s economy grew 0.2% q-o-q in Q1 2025. While this fell short of the 0.4% market forecast, it marked the 14th consecutive quarter of expansion. OECD adjusted its GDP growth forecast for Australia in 2025 from 1.9% to 1.8%.</w:t>
        <w:br/>
        <w:br/>
        <w:t>Australian household net worth reached A$17.3 trillion in the March quarter, up from A$16.2 trillion a year earlier. Property remained the largest asset class at A$11.7 trillion, growing by 5.9% annually. Superannuation assets increased by 6.6% to A$4.14 trillion, while shares and equities rose by 8% to A$1.57 trillion.</w:t>
        <w:br/>
        <w:br/>
        <w:t>The World Bank left its forecast for China unchanged at 4.5% from January, saying Beijing still had monetary and fiscal space to support its economy and stimulate growth.</w:t>
        <w:br/>
        <w:br/>
        <w:t>President Trump has upended global trade with a series of on-again, off-again tariff hikes that have increased the effective U.S. tariff rate from below 3% to the mid-teens - its highest level in almost a century - and triggered retaliation by China and other countries.</w:t>
        <w:br/>
        <w:br/>
        <w:t>The US economy remained resilient in June, with equity markets hitting record highs amid easing geopolitical risks from the Iran-Israel ceasefire and a rollback of reciprocal tariffs. Expectations for 2–3 Fed rate cuts by year-end strengthened as inflation showed signs of moderation and financial conditions remained supportive.</w:t>
        <w:br/>
        <w:br/>
        <w:t>A weakening U.S. dollar has reinvigorated investor interest in Emerging Market assets. Notably, emerging market local currency debt experienced a resurgence, with bond funds recording eight consecutive weeks of inflows and returns exceeding 10% year-to-date.</w:t>
        <w:br/>
        <w:br/>
        <w:t>The eurozone's GDP is projected to grow by 0.9% in 2025, a downward revision from earlier forecasts, primarily due to heightened trade tensions and global uncertainty. Inflation is expected to average 2.0% in 2025, aligning with the European Central Bank's (ECB) target, before dipping to 1.6%.</w:t>
        <w:br/>
        <w:br/>
        <w:t>The US 10-year yield rose over the month as strong jobs data and sticky inflation reduced the likelihood of a July Fed rate cut, while fiscal concerns mounted following Senate approval of a $3.3 trillion deficit-financed tax bill.</w:t>
        <w:br/>
        <w:br/>
        <w:t>Australian government bond yields ended June slightly higher at the long end, while the 2-year yield eased as markets began to price in rate cuts in 2026 amid softening growth momentum. The yield curve steepened modestly, with RBA commentary remaining hawkish due to persistent services inflation and a tight labour market.</w:t>
        <w:br/>
        <w:br/>
        <w:t>Gold miners delivered 60% for the year. Gold is set to surpass metallurgical coal to become Australia's 3rd biggest resource export earner in 2025–2026.</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9681" w14:textId="77777777" w:rsidR="0057307B" w:rsidRDefault="0057307B" w:rsidP="007B4373">
      <w:r>
        <w:separator/>
      </w:r>
    </w:p>
  </w:endnote>
  <w:endnote w:type="continuationSeparator" w:id="0">
    <w:p w14:paraId="07388762" w14:textId="77777777" w:rsidR="0057307B" w:rsidRDefault="0057307B"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B59F" w14:textId="77777777" w:rsidR="0057307B" w:rsidRDefault="0057307B" w:rsidP="007B4373">
      <w:r>
        <w:separator/>
      </w:r>
    </w:p>
  </w:footnote>
  <w:footnote w:type="continuationSeparator" w:id="0">
    <w:p w14:paraId="07B001D8" w14:textId="77777777" w:rsidR="0057307B" w:rsidRDefault="0057307B"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3930"/>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07B"/>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6C82"/>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47A6"/>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0E3930"/>
    <w:pPr>
      <w:numPr>
        <w:numId w:val="0"/>
      </w:numPr>
    </w:pPr>
    <w:rPr>
      <w:color w:val="F17C11" w:themeColor="accent2"/>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0E3930"/>
    <w:rPr>
      <w:color w:val="F17C11"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160</cp:revision>
  <cp:lastPrinted>2022-04-29T02:04:00Z</cp:lastPrinted>
  <dcterms:created xsi:type="dcterms:W3CDTF">2022-07-06T04:09:00Z</dcterms:created>
  <dcterms:modified xsi:type="dcterms:W3CDTF">2025-02-06T10:28:00Z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