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F9ECC" w14:textId="77777777" w:rsidR="005E14BC" w:rsidRPr="001C33C8" w:rsidRDefault="005E14BC" w:rsidP="001C33C8"/>
    <w:p>
      <w:pPr>
        <w:pStyle w:val="Heading10"/>
        <w:tabs>
          <w:tab w:pos="10772" w:val="right"/>
        </w:tabs>
      </w:pPr>
      <w:r>
        <w:t>Murray Irrigation Reserve</w:t>
      </w:r>
      <w:r>
        <w:tab/>
      </w:r>
      <w:r>
        <w:t>30 June 2025</w:t>
      </w:r>
    </w:p>
    <w:tbl>
      <w:tblPr>
        <w:tblStyle w:val="AtchisonTable1"/>
        <w:tblW w:type="auto" w:w="0"/>
        <w:tblLook w:firstColumn="1" w:firstRow="1" w:lastColumn="0" w:lastRow="0" w:noHBand="0" w:noVBand="1" w:val="04A0"/>
      </w:tblPr>
      <w:tblGrid>
        <w:gridCol w:w="1842"/>
        <w:gridCol w:w="1842"/>
        <w:gridCol w:w="1842"/>
        <w:gridCol w:w="1842"/>
        <w:gridCol w:w="1842"/>
        <w:gridCol w:w="1842"/>
      </w:tblGrid>
      <w:tr>
        <w:tc>
          <w:tcPr>
            <w:tcW w:type="dxa" w:w="2551"/>
          </w:tcPr>
          <w:p/>
        </w:tc>
        <w:tc>
          <w:tcPr>
            <w:tcW w:type="dxa" w:w="1644"/>
          </w:tcPr>
          <w:p>
            <w:r>
              <w:t>3 Months</w:t>
            </w:r>
          </w:p>
        </w:tc>
        <w:tc>
          <w:tcPr>
            <w:tcW w:type="dxa" w:w="1644"/>
          </w:tcPr>
          <w:p>
            <w:r>
              <w:t>6 Months</w:t>
            </w:r>
          </w:p>
        </w:tc>
        <w:tc>
          <w:tcPr>
            <w:tcW w:type="dxa" w:w="1644"/>
          </w:tcPr>
          <w:p>
            <w:r>
              <w:t>1 Year</w:t>
            </w:r>
          </w:p>
        </w:tc>
        <w:tc>
          <w:tcPr>
            <w:tcW w:type="dxa" w:w="1644"/>
          </w:tcPr>
          <w:p>
            <w:r>
              <w:t>2 Years (p.a.)</w:t>
            </w:r>
          </w:p>
        </w:tc>
        <w:tc>
          <w:tcPr>
            <w:tcW w:type="dxa" w:w="1644"/>
          </w:tcPr>
          <w:p>
            <w:r>
              <w:t>Since Inception (p.a.)</w:t>
            </w:r>
          </w:p>
        </w:tc>
      </w:tr>
      <w:tr>
        <w:tc>
          <w:tcPr>
            <w:tcW w:type="dxa" w:w="2551"/>
          </w:tcPr>
          <w:p>
            <w:r>
              <w:t>MurrayIrrigation</w:t>
            </w:r>
          </w:p>
        </w:tc>
        <w:tc>
          <w:tcPr>
            <w:tcW w:type="dxa" w:w="1644"/>
          </w:tcPr>
          <w:p>
            <w:r>
              <w:rPr>
                <w:b/>
              </w:rPr>
              <w:t>5.83</w:t>
            </w:r>
          </w:p>
        </w:tc>
        <w:tc>
          <w:tcPr>
            <w:tcW w:type="dxa" w:w="1644"/>
          </w:tcPr>
          <w:p>
            <w:r>
              <w:rPr>
                <w:b/>
              </w:rPr>
              <w:t>4.18</w:t>
            </w:r>
          </w:p>
        </w:tc>
        <w:tc>
          <w:tcPr>
            <w:tcW w:type="dxa" w:w="1644"/>
          </w:tcPr>
          <w:p>
            <w:r>
              <w:rPr>
                <w:b/>
              </w:rPr>
              <w:t>11.95</w:t>
            </w:r>
          </w:p>
        </w:tc>
        <w:tc>
          <w:tcPr>
            <w:tcW w:type="dxa" w:w="1644"/>
          </w:tcPr>
          <w:p>
            <w:r>
              <w:rPr>
                <w:b/>
              </w:rPr>
              <w:t>12.2</w:t>
            </w:r>
          </w:p>
        </w:tc>
        <w:tc>
          <w:tcPr>
            <w:tcW w:type="dxa" w:w="1644"/>
          </w:tcPr>
          <w:p>
            <w:r>
              <w:rPr>
                <w:b/>
              </w:rPr>
              <w:t>12.04</w:t>
            </w:r>
          </w:p>
        </w:tc>
      </w:tr>
      <w:tr>
        <w:tc>
          <w:tcPr>
            <w:tcW w:type="dxa" w:w="2551"/>
          </w:tcPr>
          <w:p>
            <w:r>
              <w:t>Peer Group</w:t>
            </w:r>
          </w:p>
        </w:tc>
        <w:tc>
          <w:tcPr>
            <w:tcW w:type="dxa" w:w="1644"/>
          </w:tcPr>
          <w:p>
            <w:r>
              <w:t>4.99</w:t>
            </w:r>
          </w:p>
        </w:tc>
        <w:tc>
          <w:tcPr>
            <w:tcW w:type="dxa" w:w="1644"/>
          </w:tcPr>
          <w:p>
            <w:r>
              <w:t>3.95</w:t>
            </w:r>
          </w:p>
        </w:tc>
        <w:tc>
          <w:tcPr>
            <w:tcW w:type="dxa" w:w="1644"/>
          </w:tcPr>
          <w:p>
            <w:r>
              <w:t>10.28</w:t>
            </w:r>
          </w:p>
        </w:tc>
        <w:tc>
          <w:tcPr>
            <w:tcW w:type="dxa" w:w="1644"/>
          </w:tcPr>
          <w:p>
            <w:r>
              <w:t>10.13</w:t>
            </w:r>
          </w:p>
        </w:tc>
        <w:tc>
          <w:tcPr>
            <w:tcW w:type="dxa" w:w="1644"/>
          </w:tcPr>
          <w:p>
            <w:r>
              <w:t>9.81</w:t>
            </w:r>
          </w:p>
        </w:tc>
      </w:tr>
      <w:tr>
        <w:tc>
          <w:tcPr>
            <w:tcW w:type="dxa" w:w="2551"/>
          </w:tcPr>
          <w:p>
            <w:r>
              <w:t>Inflation</w:t>
            </w:r>
          </w:p>
        </w:tc>
        <w:tc>
          <w:tcPr>
            <w:tcW w:type="dxa" w:w="1644"/>
          </w:tcPr>
          <w:p>
            <w:r>
              <w:t>1.35</w:t>
            </w:r>
          </w:p>
        </w:tc>
        <w:tc>
          <w:tcPr>
            <w:tcW w:type="dxa" w:w="1644"/>
          </w:tcPr>
          <w:p>
            <w:r>
              <w:t>1.45</w:t>
            </w:r>
          </w:p>
        </w:tc>
        <w:tc>
          <w:tcPr>
            <w:tcW w:type="dxa" w:w="1644"/>
          </w:tcPr>
          <w:p>
            <w:r>
              <w:t>2.1</w:t>
            </w:r>
          </w:p>
        </w:tc>
        <w:tc>
          <w:tcPr>
            <w:tcW w:type="dxa" w:w="1644"/>
          </w:tcPr>
          <w:p>
            <w:r>
              <w:t>2.95</w:t>
            </w:r>
          </w:p>
        </w:tc>
        <w:tc>
          <w:tcPr>
            <w:tcW w:type="dxa" w:w="1644"/>
          </w:tcPr>
          <w:p>
            <w:r>
              <w:t>3.75</w:t>
            </w:r>
          </w:p>
        </w:tc>
      </w:tr>
      <w:tr>
        <w:tc>
          <w:tcPr>
            <w:tcW w:type="dxa" w:w="2551"/>
          </w:tcPr>
          <w:p>
            <w:r>
              <w:t>Outperformance vs Peers</w:t>
            </w:r>
          </w:p>
        </w:tc>
        <w:tc>
          <w:tcPr>
            <w:tcW w:type="dxa" w:w="1644"/>
          </w:tcPr>
          <w:p>
            <w:r>
              <w:t>0.85</w:t>
            </w:r>
          </w:p>
        </w:tc>
        <w:tc>
          <w:tcPr>
            <w:tcW w:type="dxa" w:w="1644"/>
          </w:tcPr>
          <w:p>
            <w:r>
              <w:t>0.23</w:t>
            </w:r>
          </w:p>
        </w:tc>
        <w:tc>
          <w:tcPr>
            <w:tcW w:type="dxa" w:w="1644"/>
          </w:tcPr>
          <w:p>
            <w:r>
              <w:t>1.67</w:t>
            </w:r>
          </w:p>
        </w:tc>
        <w:tc>
          <w:tcPr>
            <w:tcW w:type="dxa" w:w="1644"/>
          </w:tcPr>
          <w:p>
            <w:r>
              <w:t>2.08</w:t>
            </w:r>
          </w:p>
        </w:tc>
        <w:tc>
          <w:tcPr>
            <w:tcW w:type="dxa" w:w="1644"/>
          </w:tcPr>
          <w:p>
            <w:r>
              <w:t>2.24</w:t>
            </w:r>
          </w:p>
        </w:tc>
      </w:tr>
      <w:tr>
        <w:tc>
          <w:tcPr>
            <w:tcW w:type="dxa" w:w="2551"/>
          </w:tcPr>
          <w:p>
            <w:r>
              <w:t>Outperformance vs Inflation</w:t>
            </w:r>
          </w:p>
        </w:tc>
        <w:tc>
          <w:tcPr>
            <w:tcW w:type="dxa" w:w="1644"/>
          </w:tcPr>
          <w:p>
            <w:r>
              <w:t>4.49</w:t>
            </w:r>
          </w:p>
        </w:tc>
        <w:tc>
          <w:tcPr>
            <w:tcW w:type="dxa" w:w="1644"/>
          </w:tcPr>
          <w:p>
            <w:r>
              <w:t>2.73</w:t>
            </w:r>
          </w:p>
        </w:tc>
        <w:tc>
          <w:tcPr>
            <w:tcW w:type="dxa" w:w="1644"/>
          </w:tcPr>
          <w:p>
            <w:r>
              <w:t>9.84</w:t>
            </w:r>
          </w:p>
        </w:tc>
        <w:tc>
          <w:tcPr>
            <w:tcW w:type="dxa" w:w="1644"/>
          </w:tcPr>
          <w:p>
            <w:r>
              <w:t>9.26</w:t>
            </w:r>
          </w:p>
        </w:tc>
        <w:tc>
          <w:tcPr>
            <w:tcW w:type="dxa" w:w="1644"/>
          </w:tcPr>
          <w:p>
            <w:r>
              <w:t>8.29</w:t>
            </w:r>
          </w:p>
        </w:tc>
      </w:tr>
    </w:tbl>
    <w:p>
      <w:pPr>
        <w:pStyle w:val="Note"/>
      </w:pPr>
      <w:r>
        <w:t>Inception Date: 30 June 2022</w:t>
      </w:r>
    </w:p>
    <w:p>
      <w:pPr>
        <w:sectPr>
          <w:headerReference w:type="even" r:id="rId11"/>
          <w:headerReference w:type="default" r:id="rId12"/>
          <w:footerReference w:type="even" r:id="rId13"/>
          <w:footerReference w:type="default" r:id="rId14"/>
          <w:headerReference w:type="first" r:id="rId15"/>
          <w:footerReference w:type="first" r:id="rId16"/>
          <w:type w:val="continuous"/>
          <w:pgSz w:w="11900" w:h="16840" w:code="9"/>
          <w:pgMar w:top="0" w:right="420" w:bottom="0" w:left="425" w:header="0" w:footer="726" w:gutter="0"/>
          <w:cols w:space="284"/>
          <w:docGrid w:linePitch="360"/>
        </w:sectPr>
      </w:pPr>
    </w:p>
    <w:p>
      <w:pPr>
        <w:pStyle w:val="Heading20"/>
      </w:pPr>
      <w:r>
        <w:t>Investment Objective</w:t>
      </w:r>
    </w:p>
    <w:p>
      <w:pPr>
        <w:pStyle w:val="BodyStyle"/>
      </w:pPr>
      <w:r>
        <w:t>nan</w:t>
      </w:r>
    </w:p>
    <w:p>
      <w:pPr>
        <w:pStyle w:val="Heading20"/>
      </w:pPr>
      <w:r>
        <w:t>Strategy Overview</w:t>
      </w:r>
    </w:p>
    <w:p>
      <w:pPr>
        <w:pStyle w:val="BodyStyle"/>
      </w:pPr>
      <w:r>
        <w:t>nan</w:t>
      </w:r>
    </w:p>
    <w:tbl>
      <w:tblPr>
        <w:tblStyle w:val="AtchisonTable1"/>
        <w:tblW w:type="auto" w:w="0"/>
        <w:tblLook w:firstColumn="1" w:firstRow="1" w:lastColumn="0" w:lastRow="0" w:noHBand="0" w:noVBand="1" w:val="04A0"/>
      </w:tblPr>
      <w:tblGrid>
        <w:gridCol w:w="5527"/>
        <w:gridCol w:w="5527"/>
      </w:tblGrid>
      <w:tr>
        <w:tc>
          <w:tcPr>
            <w:tcW w:type="dxa" w:w="2268"/>
          </w:tcPr>
          <w:p>
            <w:r>
              <w:t>Key Details</w:t>
            </w:r>
          </w:p>
        </w:tc>
        <w:tc>
          <w:tcPr>
            <w:tcW w:type="dxa" w:w="3118"/>
          </w:tcPr>
          <w:p>
            <w:r/>
          </w:p>
        </w:tc>
      </w:tr>
      <w:tr>
        <w:tc>
          <w:tcPr>
            <w:tcW w:type="dxa" w:w="2268"/>
          </w:tcPr>
          <w:p>
            <w:r>
              <w:t>Strategy Category</w:t>
            </w:r>
          </w:p>
        </w:tc>
        <w:tc>
          <w:tcPr>
            <w:tcW w:type="dxa" w:w="3118"/>
          </w:tcPr>
          <w:p>
            <w:r>
              <w:t>Multi Asset</w:t>
            </w:r>
          </w:p>
        </w:tc>
      </w:tr>
      <w:tr>
        <w:tc>
          <w:tcPr>
            <w:tcW w:type="dxa" w:w="2268"/>
          </w:tcPr>
          <w:p>
            <w:r>
              <w:t>Strategy Provider</w:t>
            </w:r>
          </w:p>
        </w:tc>
        <w:tc>
          <w:tcPr>
            <w:tcW w:type="dxa" w:w="3118"/>
          </w:tcPr>
          <w:p>
            <w:r>
              <w:t>MurrayIrrigation</w:t>
            </w:r>
          </w:p>
        </w:tc>
      </w:tr>
      <w:tr>
        <w:tc>
          <w:tcPr>
            <w:tcW w:type="dxa" w:w="2268"/>
          </w:tcPr>
          <w:p>
            <w:r>
              <w:t>Benchmark</w:t>
            </w:r>
          </w:p>
        </w:tc>
        <w:tc>
          <w:tcPr>
            <w:tcW w:type="dxa" w:w="3118"/>
          </w:tcPr>
          <w:p>
            <w:r>
              <w:t>nan</w:t>
            </w:r>
          </w:p>
        </w:tc>
      </w:tr>
      <w:tr>
        <w:tc>
          <w:tcPr>
            <w:tcW w:type="dxa" w:w="2268"/>
          </w:tcPr>
          <w:p>
            <w:r>
              <w:t>Inception Date</w:t>
            </w:r>
          </w:p>
        </w:tc>
        <w:tc>
          <w:tcPr>
            <w:tcW w:type="dxa" w:w="3118"/>
          </w:tcPr>
          <w:p>
            <w:r>
              <w:t>30 June 2022</w:t>
            </w:r>
          </w:p>
        </w:tc>
      </w:tr>
      <w:tr>
        <w:tc>
          <w:tcPr>
            <w:tcW w:type="dxa" w:w="2268"/>
          </w:tcPr>
          <w:p>
            <w:r>
              <w:t>Investment Horizon</w:t>
            </w:r>
          </w:p>
        </w:tc>
        <w:tc>
          <w:tcPr>
            <w:tcW w:type="dxa" w:w="3118"/>
          </w:tcPr>
          <w:p>
            <w:r>
              <w:t>nan</w:t>
            </w:r>
          </w:p>
        </w:tc>
      </w:tr>
      <w:tr>
        <w:tc>
          <w:tcPr>
            <w:tcW w:type="dxa" w:w="2268"/>
          </w:tcPr>
          <w:p>
            <w:r>
              <w:t>Risk Level (SRM)</w:t>
            </w:r>
          </w:p>
        </w:tc>
        <w:tc>
          <w:tcPr>
            <w:tcW w:type="dxa" w:w="3118"/>
          </w:tcPr>
          <w:p>
            <w:r>
              <w:t>nan</w:t>
            </w:r>
          </w:p>
        </w:tc>
      </w:tr>
      <w:tr>
        <w:tc>
          <w:tcPr>
            <w:tcW w:type="dxa" w:w="2268"/>
          </w:tcPr>
          <w:p>
            <w:r>
              <w:t>Min Investment</w:t>
            </w:r>
          </w:p>
        </w:tc>
        <w:tc>
          <w:tcPr>
            <w:tcW w:type="dxa" w:w="3118"/>
          </w:tcPr>
          <w:p>
            <w:r>
              <w:t>nan</w:t>
            </w:r>
          </w:p>
        </w:tc>
      </w:tr>
      <w:tr>
        <w:tc>
          <w:tcPr>
            <w:tcW w:type="dxa" w:w="2268"/>
          </w:tcPr>
          <w:p>
            <w:r>
              <w:t>Product Fee</w:t>
            </w:r>
          </w:p>
        </w:tc>
        <w:tc>
          <w:tcPr>
            <w:tcW w:type="dxa" w:w="3118"/>
          </w:tcPr>
          <w:p>
            <w:r>
              <w:t>nan</w:t>
            </w:r>
          </w:p>
        </w:tc>
      </w:tr>
      <w:tr>
        <w:tc>
          <w:tcPr>
            <w:tcW w:type="dxa" w:w="2268"/>
          </w:tcPr>
          <w:p>
            <w:r>
              <w:t>Underlying MER</w:t>
            </w:r>
          </w:p>
        </w:tc>
        <w:tc>
          <w:tcPr>
            <w:tcW w:type="dxa" w:w="3118"/>
          </w:tcPr>
          <w:p>
            <w:r>
              <w:t>nan</w:t>
            </w:r>
          </w:p>
        </w:tc>
      </w:tr>
      <w:tr>
        <w:tc>
          <w:tcPr>
            <w:tcW w:type="dxa" w:w="2268"/>
          </w:tcPr>
          <w:p>
            <w:r>
              <w:t>Underlying Perf Fees</w:t>
            </w:r>
          </w:p>
        </w:tc>
        <w:tc>
          <w:tcPr>
            <w:tcW w:type="dxa" w:w="3118"/>
          </w:tcPr>
          <w:p>
            <w:r>
              <w:t>nan</w:t>
            </w:r>
          </w:p>
        </w:tc>
      </w:tr>
    </w:tbl>
    <w:p>
      <w:pPr>
        <w:pStyle w:val="Heading30"/>
      </w:pPr>
      <w:r>
        <w:t>Top 10 Share Exposures</w:t>
      </w:r>
    </w:p>
    <w:tbl>
      <w:tblPr>
        <w:tblStyle w:val="AtchisonTable1"/>
        <w:tblW w:type="auto" w:w="0"/>
        <w:tblLook w:firstColumn="1" w:firstRow="1" w:lastColumn="0" w:lastRow="0" w:noHBand="0" w:noVBand="1" w:val="04A0"/>
      </w:tblPr>
      <w:tblGrid>
        <w:gridCol w:w="5527"/>
        <w:gridCol w:w="5527"/>
      </w:tblGrid>
      <w:tr>
        <w:tc>
          <w:tcPr>
            <w:tcW w:type="dxa" w:w="1417"/>
          </w:tcPr>
          <w:p>
            <w:r>
              <w:rPr>
                <w:b/>
              </w:rPr>
              <w:t>Code</w:t>
            </w:r>
          </w:p>
        </w:tc>
        <w:tc>
          <w:tcPr>
            <w:tcW w:type="dxa" w:w="3685"/>
          </w:tcPr>
          <w:p>
            <w:r>
              <w:rPr>
                <w:b/>
              </w:rPr>
              <w:t>Name</w:t>
            </w:r>
          </w:p>
        </w:tc>
      </w:tr>
    </w:tbl>
    <w:br w:type="column"/>
    <w:p>
      <w:pPr>
        <w:pStyle w:val="Heading30"/>
      </w:pPr>
      <w:r>
        <w:t>Strategy Performance</w:t>
      </w:r>
    </w:p>
    <w:p>
      <w:r>
        <w:drawing>
          <wp:inline xmlns:a="http://schemas.openxmlformats.org/drawingml/2006/main" xmlns:pic="http://schemas.openxmlformats.org/drawingml/2006/picture">
            <wp:extent cx="3240000" cy="1800000"/>
            <wp:docPr id="1" name="Picture 1"/>
            <wp:cNvGraphicFramePr>
              <a:graphicFrameLocks noChangeAspect="1"/>
            </wp:cNvGraphicFramePr>
            <a:graphic>
              <a:graphicData uri="http://schemas.openxmlformats.org/drawingml/2006/picture">
                <pic:pic>
                  <pic:nvPicPr>
                    <pic:cNvPr id="0" name="1_Performance-Main_v2.png"/>
                    <pic:cNvPicPr/>
                  </pic:nvPicPr>
                  <pic:blipFill>
                    <a:blip r:embed="rId19"/>
                    <a:stretch>
                      <a:fillRect/>
                    </a:stretch>
                  </pic:blipFill>
                  <pic:spPr>
                    <a:xfrm>
                      <a:off x="0" y="0"/>
                      <a:ext cx="3240000" cy="1800000"/>
                    </a:xfrm>
                    <a:prstGeom prst="rect"/>
                  </pic:spPr>
                </pic:pic>
              </a:graphicData>
            </a:graphic>
          </wp:inline>
        </w:drawing>
      </w:r>
    </w:p>
    <w:p>
      <w:pPr>
        <w:pStyle w:val="Heading30"/>
      </w:pPr>
      <w:r>
        <w:t>Cumulative Performance Since Inception</w:t>
      </w:r>
    </w:p>
    <w:p>
      <w:r>
        <w:drawing>
          <wp:inline xmlns:a="http://schemas.openxmlformats.org/drawingml/2006/main" xmlns:pic="http://schemas.openxmlformats.org/drawingml/2006/picture">
            <wp:extent cx="3240000" cy="2160000"/>
            <wp:docPr id="2" name="Picture 2"/>
            <wp:cNvGraphicFramePr>
              <a:graphicFrameLocks noChangeAspect="1"/>
            </wp:cNvGraphicFramePr>
            <a:graphic>
              <a:graphicData uri="http://schemas.openxmlformats.org/drawingml/2006/picture">
                <pic:pic>
                  <pic:nvPicPr>
                    <pic:cNvPr id="0" name="1_Performance-Cum_v2.png"/>
                    <pic:cNvPicPr/>
                  </pic:nvPicPr>
                  <pic:blipFill>
                    <a:blip r:embed="rId20"/>
                    <a:stretch>
                      <a:fillRect/>
                    </a:stretch>
                  </pic:blipFill>
                  <pic:spPr>
                    <a:xfrm>
                      <a:off x="0" y="0"/>
                      <a:ext cx="3240000" cy="2160000"/>
                    </a:xfrm>
                    <a:prstGeom prst="rect"/>
                  </pic:spPr>
                </pic:pic>
              </a:graphicData>
            </a:graphic>
          </wp:inline>
        </w:drawing>
      </w:r>
    </w:p>
    <w:p>
      <w:pPr>
        <w:pStyle w:val="Heading30"/>
      </w:pPr>
      <w:r>
        <w:t>Portfolio Allocations</w:t>
      </w:r>
    </w:p>
    <w:p>
      <w:r>
        <w:drawing>
          <wp:inline xmlns:a="http://schemas.openxmlformats.org/drawingml/2006/main" xmlns:pic="http://schemas.openxmlformats.org/drawingml/2006/picture">
            <wp:extent cx="3240000" cy="1800000"/>
            <wp:docPr id="3" name="Picture 3"/>
            <wp:cNvGraphicFramePr>
              <a:graphicFrameLocks noChangeAspect="1"/>
            </wp:cNvGraphicFramePr>
            <a:graphic>
              <a:graphicData uri="http://schemas.openxmlformats.org/drawingml/2006/picture">
                <pic:pic>
                  <pic:nvPicPr>
                    <pic:cNvPr id="0" name="3_Alloc_Ranges.png"/>
                    <pic:cNvPicPr/>
                  </pic:nvPicPr>
                  <pic:blipFill>
                    <a:blip r:embed="rId21"/>
                    <a:stretch>
                      <a:fillRect/>
                    </a:stretch>
                  </pic:blipFill>
                  <pic:spPr>
                    <a:xfrm>
                      <a:off x="0" y="0"/>
                      <a:ext cx="3240000" cy="1800000"/>
                    </a:xfrm>
                    <a:prstGeom prst="rect"/>
                  </pic:spPr>
                </pic:pic>
              </a:graphicData>
            </a:graphic>
          </wp:inline>
        </w:drawing>
      </w:r>
    </w:p>
    <w:br w:type="column"/>
    <w:p>
      <w:pPr>
        <w:pStyle w:val="Heading30"/>
      </w:pPr>
      <w:r>
        <w:t>Asset Class Performance</w:t>
      </w:r>
    </w:p>
    <w:tbl>
      <w:tblPr>
        <w:tblStyle w:val="AtchisonTable1"/>
        <w:tblW w:type="auto" w:w="0"/>
        <w:tblLook w:firstColumn="1" w:firstRow="1" w:lastColumn="0" w:lastRow="0" w:noHBand="0" w:noVBand="1" w:val="04A0"/>
      </w:tblPr>
      <w:tblGrid>
        <w:gridCol w:w="3685"/>
        <w:gridCol w:w="3685"/>
        <w:gridCol w:w="3685"/>
      </w:tblGrid>
      <w:tr>
        <w:tc>
          <w:tcPr>
            <w:tcW w:type="dxa" w:w="1984"/>
          </w:tcPr>
          <w:p>
            <w:r>
              <w:rPr>
                <w:b/>
              </w:rPr>
              <w:t>Period</w:t>
            </w:r>
          </w:p>
        </w:tc>
        <w:tc>
          <w:tcPr>
            <w:tcW w:type="dxa" w:w="1559"/>
          </w:tcPr>
          <w:p>
            <w:r>
              <w:rPr>
                <w:b/>
              </w:rPr>
              <w:t>1 Year</w:t>
            </w:r>
          </w:p>
        </w:tc>
        <w:tc>
          <w:tcPr>
            <w:tcW w:type="dxa" w:w="1559"/>
          </w:tcPr>
          <w:p>
            <w:r>
              <w:rPr>
                <w:b/>
              </w:rPr>
              <w:t>2 Years (p.a.)</w:t>
            </w:r>
          </w:p>
        </w:tc>
      </w:tr>
      <w:tr>
        <w:tc>
          <w:tcPr>
            <w:tcW w:type="dxa" w:w="1984"/>
          </w:tcPr>
          <w:p>
            <w:r>
              <w:t>Australian Shares</w:t>
            </w:r>
          </w:p>
        </w:tc>
        <w:tc>
          <w:tcPr>
            <w:tcW w:type="dxa" w:w="1559"/>
          </w:tcPr>
          <w:p>
            <w:r>
              <w:t>13.44</w:t>
            </w:r>
          </w:p>
        </w:tc>
        <w:tc>
          <w:tcPr>
            <w:tcW w:type="dxa" w:w="1559"/>
          </w:tcPr>
          <w:p>
            <w:r>
              <w:t>12.38</w:t>
            </w:r>
          </w:p>
        </w:tc>
      </w:tr>
      <w:tr>
        <w:tc>
          <w:tcPr>
            <w:tcW w:type="dxa" w:w="1984"/>
          </w:tcPr>
          <w:p>
            <w:r>
              <w:t>International Shares</w:t>
            </w:r>
          </w:p>
        </w:tc>
        <w:tc>
          <w:tcPr>
            <w:tcW w:type="dxa" w:w="1559"/>
          </w:tcPr>
          <w:p>
            <w:r>
              <w:t>16.21</w:t>
            </w:r>
          </w:p>
        </w:tc>
        <w:tc>
          <w:tcPr>
            <w:tcW w:type="dxa" w:w="1559"/>
          </w:tcPr>
          <w:p>
            <w:r>
              <w:t>16.25</w:t>
            </w:r>
          </w:p>
        </w:tc>
      </w:tr>
      <w:tr>
        <w:tc>
          <w:tcPr>
            <w:tcW w:type="dxa" w:w="1984"/>
          </w:tcPr>
          <w:p>
            <w:r>
              <w:t>Real Assets</w:t>
            </w:r>
          </w:p>
        </w:tc>
        <w:tc>
          <w:tcPr>
            <w:tcW w:type="dxa" w:w="1559"/>
          </w:tcPr>
          <w:p>
            <w:r>
              <w:t>11.5</w:t>
            </w:r>
          </w:p>
        </w:tc>
        <w:tc>
          <w:tcPr>
            <w:tcW w:type="dxa" w:w="1559"/>
          </w:tcPr>
          <w:p>
            <w:r>
              <w:t>16.45</w:t>
            </w:r>
          </w:p>
        </w:tc>
      </w:tr>
      <w:tr>
        <w:tc>
          <w:tcPr>
            <w:tcW w:type="dxa" w:w="1984"/>
          </w:tcPr>
          <w:p>
            <w:r>
              <w:t>Alternatives</w:t>
            </w:r>
          </w:p>
        </w:tc>
        <w:tc>
          <w:tcPr>
            <w:tcW w:type="dxa" w:w="1559"/>
          </w:tcPr>
          <w:p>
            <w:r>
              <w:t>0.0</w:t>
            </w:r>
          </w:p>
        </w:tc>
        <w:tc>
          <w:tcPr>
            <w:tcW w:type="dxa" w:w="1559"/>
          </w:tcPr>
          <w:p>
            <w:r>
              <w:t>0.0</w:t>
            </w:r>
          </w:p>
        </w:tc>
      </w:tr>
      <w:tr>
        <w:tc>
          <w:tcPr>
            <w:tcW w:type="dxa" w:w="1984"/>
          </w:tcPr>
          <w:p>
            <w:r>
              <w:t>Long Duration</w:t>
            </w:r>
          </w:p>
        </w:tc>
        <w:tc>
          <w:tcPr>
            <w:tcW w:type="dxa" w:w="1559"/>
          </w:tcPr>
          <w:p>
            <w:r>
              <w:t>6.96</w:t>
            </w:r>
          </w:p>
        </w:tc>
        <w:tc>
          <w:tcPr>
            <w:tcW w:type="dxa" w:w="1559"/>
          </w:tcPr>
          <w:p>
            <w:r>
              <w:t>5.25</w:t>
            </w:r>
          </w:p>
        </w:tc>
      </w:tr>
      <w:tr>
        <w:tc>
          <w:tcPr>
            <w:tcW w:type="dxa" w:w="1984"/>
          </w:tcPr>
          <w:p>
            <w:r>
              <w:t>Floating Rate</w:t>
            </w:r>
          </w:p>
        </w:tc>
        <w:tc>
          <w:tcPr>
            <w:tcW w:type="dxa" w:w="1559"/>
          </w:tcPr>
          <w:p>
            <w:r>
              <w:t>0.0</w:t>
            </w:r>
          </w:p>
        </w:tc>
        <w:tc>
          <w:tcPr>
            <w:tcW w:type="dxa" w:w="1559"/>
          </w:tcPr>
          <w:p>
            <w:r>
              <w:t>0.0</w:t>
            </w:r>
          </w:p>
        </w:tc>
      </w:tr>
      <w:tr>
        <w:tc>
          <w:tcPr>
            <w:tcW w:type="dxa" w:w="1984"/>
          </w:tcPr>
          <w:p>
            <w:r>
              <w:t>Cash</w:t>
            </w:r>
          </w:p>
        </w:tc>
        <w:tc>
          <w:tcPr>
            <w:tcW w:type="dxa" w:w="1559"/>
          </w:tcPr>
          <w:p>
            <w:r>
              <w:t>4.37</w:t>
            </w:r>
          </w:p>
        </w:tc>
        <w:tc>
          <w:tcPr>
            <w:tcW w:type="dxa" w:w="1559"/>
          </w:tcPr>
          <w:p>
            <w:r>
              <w:t>4.37</w:t>
            </w:r>
          </w:p>
        </w:tc>
      </w:tr>
    </w:tbl>
    <w:p>
      <w:pPr>
        <w:pStyle w:val="Note"/>
      </w:pPr>
      <w:r>
        <w:t>Inception Date: 30 June 2022</w:t>
      </w:r>
    </w:p>
    <w:p>
      <w:pPr>
        <w:pStyle w:val="Heading30"/>
      </w:pPr>
      <w:r>
        <w:t>Portfolio Construction</w:t>
      </w:r>
    </w:p>
    <w:p>
      <w:r>
        <w:drawing>
          <wp:inline xmlns:a="http://schemas.openxmlformats.org/drawingml/2006/main" xmlns:pic="http://schemas.openxmlformats.org/drawingml/2006/picture">
            <wp:extent cx="3240000" cy="3240000"/>
            <wp:docPr id="4" name="Picture 4"/>
            <wp:cNvGraphicFramePr>
              <a:graphicFrameLocks noChangeAspect="1"/>
            </wp:cNvGraphicFramePr>
            <a:graphic>
              <a:graphicData uri="http://schemas.openxmlformats.org/drawingml/2006/picture">
                <pic:pic>
                  <pic:nvPicPr>
                    <pic:cNvPr id="0" name="3_Alloc_Mgr_Level_5.png"/>
                    <pic:cNvPicPr/>
                  </pic:nvPicPr>
                  <pic:blipFill>
                    <a:blip r:embed="rId22"/>
                    <a:stretch>
                      <a:fillRect/>
                    </a:stretch>
                  </pic:blipFill>
                  <pic:spPr>
                    <a:xfrm>
                      <a:off x="0" y="0"/>
                      <a:ext cx="3240000" cy="3240000"/>
                    </a:xfrm>
                    <a:prstGeom prst="rect"/>
                  </pic:spPr>
                </pic:pic>
              </a:graphicData>
            </a:graphic>
          </wp:inline>
        </w:drawing>
      </w:r>
    </w:p>
    <w:p>
      <w:pPr>
        <w:pStyle w:val="Heading30"/>
      </w:pPr>
      <w:r>
        <w:t>Correlations</w:t>
      </w:r>
    </w:p>
    <w:p>
      <w:r>
        <w:drawing>
          <wp:inline xmlns:a="http://schemas.openxmlformats.org/drawingml/2006/main" xmlns:pic="http://schemas.openxmlformats.org/drawingml/2006/picture">
            <wp:extent cx="3240000" cy="2700000"/>
            <wp:docPr id="5" name="Picture 5"/>
            <wp:cNvGraphicFramePr>
              <a:graphicFrameLocks noChangeAspect="1"/>
            </wp:cNvGraphicFramePr>
            <a:graphic>
              <a:graphicData uri="http://schemas.openxmlformats.org/drawingml/2006/picture">
                <pic:pic>
                  <pic:nvPicPr>
                    <pic:cNvPr id="0" name="6_Sleeve_MonthlyCorrel.png"/>
                    <pic:cNvPicPr/>
                  </pic:nvPicPr>
                  <pic:blipFill>
                    <a:blip r:embed="rId23"/>
                    <a:stretch>
                      <a:fillRect/>
                    </a:stretch>
                  </pic:blipFill>
                  <pic:spPr>
                    <a:xfrm>
                      <a:off x="0" y="0"/>
                      <a:ext cx="3240000" cy="2700000"/>
                    </a:xfrm>
                    <a:prstGeom prst="rect"/>
                  </pic:spPr>
                </pic:pic>
              </a:graphicData>
            </a:graphic>
          </wp:inline>
        </w:drawing>
      </w:r>
    </w:p>
    <w:br w:type="column"/>
    <w:p>
      <w:pPr>
        <w:pStyle w:val="Heading30"/>
      </w:pPr>
      <w:r>
        <w:t>Historical Allocation Changes</w:t>
      </w:r>
    </w:p>
    <w:p>
      <w:r>
        <w:drawing>
          <wp:inline xmlns:a="http://schemas.openxmlformats.org/drawingml/2006/main" xmlns:pic="http://schemas.openxmlformats.org/drawingml/2006/picture">
            <wp:extent cx="3240000" cy="2880000"/>
            <wp:docPr id="6" name="Picture 6"/>
            <wp:cNvGraphicFramePr>
              <a:graphicFrameLocks noChangeAspect="1"/>
            </wp:cNvGraphicFramePr>
            <a:graphic>
              <a:graphicData uri="http://schemas.openxmlformats.org/drawingml/2006/picture">
                <pic:pic>
                  <pic:nvPicPr>
                    <pic:cNvPr id="0" name="3_Allocation_FloatHistory.png"/>
                    <pic:cNvPicPr/>
                  </pic:nvPicPr>
                  <pic:blipFill>
                    <a:blip r:embed="rId24"/>
                    <a:stretch>
                      <a:fillRect/>
                    </a:stretch>
                  </pic:blipFill>
                  <pic:spPr>
                    <a:xfrm>
                      <a:off x="0" y="0"/>
                      <a:ext cx="3240000" cy="2880000"/>
                    </a:xfrm>
                    <a:prstGeom prst="rect"/>
                  </pic:spPr>
                </pic:pic>
              </a:graphicData>
            </a:graphic>
          </wp:inline>
        </w:drawing>
      </w:r>
    </w:p>
    <w:p>
      <w:pPr>
        <w:pStyle w:val="Heading30"/>
      </w:pPr>
      <w:r>
        <w:t>Underlying Current Manager Performance</w:t>
      </w:r>
    </w:p>
    <w:tbl>
      <w:tblPr>
        <w:tblStyle w:val="AtchisonTable1"/>
        <w:tblW w:type="auto" w:w="0"/>
        <w:tblLook w:firstColumn="1" w:firstRow="1" w:lastColumn="0" w:lastRow="0" w:noHBand="0" w:noVBand="1" w:val="04A0"/>
      </w:tblPr>
      <w:tblGrid>
        <w:gridCol w:w="3685"/>
        <w:gridCol w:w="3685"/>
        <w:gridCol w:w="3685"/>
      </w:tblGrid>
      <w:tr>
        <w:tc>
          <w:tcPr>
            <w:tcW w:type="dxa" w:w="2268"/>
          </w:tcPr>
          <w:p>
            <w:r>
              <w:rPr>
                <w:b/>
              </w:rPr>
              <w:t>Strategy</w:t>
            </w:r>
          </w:p>
        </w:tc>
        <w:tc>
          <w:tcPr>
            <w:tcW w:type="dxa" w:w="1417"/>
          </w:tcPr>
          <w:p>
            <w:r>
              <w:rPr>
                <w:b/>
              </w:rPr>
              <w:t>1 Year</w:t>
            </w:r>
          </w:p>
        </w:tc>
        <w:tc>
          <w:tcPr>
            <w:tcW w:type="dxa" w:w="1417"/>
          </w:tcPr>
          <w:p>
            <w:r>
              <w:rPr>
                <w:b/>
              </w:rPr>
              <w:t>2 Years (p.a.)</w:t>
            </w:r>
          </w:p>
        </w:tc>
      </w:tr>
      <w:tr>
        <w:tc>
          <w:tcPr>
            <w:tcW w:type="dxa" w:w="2268"/>
          </w:tcPr>
          <w:p>
            <w:r>
              <w:t>Macq True Aus Eq</w:t>
            </w:r>
          </w:p>
        </w:tc>
        <w:tc>
          <w:tcPr>
            <w:tcW w:type="dxa" w:w="1417"/>
          </w:tcPr>
          <w:p>
            <w:r>
              <w:t>13.75</w:t>
            </w:r>
          </w:p>
        </w:tc>
        <w:tc>
          <w:tcPr>
            <w:tcW w:type="dxa" w:w="1417"/>
          </w:tcPr>
          <w:p>
            <w:r>
              <w:t>12.82</w:t>
            </w:r>
          </w:p>
        </w:tc>
      </w:tr>
      <w:tr>
        <w:tc>
          <w:tcPr>
            <w:tcW w:type="dxa" w:w="2268"/>
          </w:tcPr>
          <w:p>
            <w:r>
              <w:rPr>
                <w:b/>
              </w:rPr>
              <w:t>BM: Australian Shares</w:t>
            </w:r>
          </w:p>
        </w:tc>
        <w:tc>
          <w:tcPr>
            <w:tcW w:type="dxa" w:w="1417"/>
          </w:tcPr>
          <w:p>
            <w:r>
              <w:rPr>
                <w:b/>
              </w:rPr>
              <w:t>13.73</w:t>
            </w:r>
          </w:p>
        </w:tc>
        <w:tc>
          <w:tcPr>
            <w:tcW w:type="dxa" w:w="1417"/>
          </w:tcPr>
          <w:p>
            <w:r>
              <w:rPr>
                <w:b/>
              </w:rPr>
              <w:t>12.82</w:t>
            </w:r>
          </w:p>
        </w:tc>
      </w:tr>
      <w:tr>
        <w:tc>
          <w:tcPr>
            <w:tcW w:type="dxa" w:w="2268"/>
          </w:tcPr>
          <w:p>
            <w:r>
              <w:t>Macq True Int Eq</w:t>
            </w:r>
          </w:p>
        </w:tc>
        <w:tc>
          <w:tcPr>
            <w:tcW w:type="dxa" w:w="1417"/>
          </w:tcPr>
          <w:p>
            <w:r>
              <w:t>18.34</w:t>
            </w:r>
          </w:p>
        </w:tc>
        <w:tc>
          <w:tcPr>
            <w:tcW w:type="dxa" w:w="1417"/>
          </w:tcPr>
          <w:p>
            <w:r>
              <w:t>19.13</w:t>
            </w:r>
          </w:p>
        </w:tc>
      </w:tr>
      <w:tr>
        <w:tc>
          <w:tcPr>
            <w:tcW w:type="dxa" w:w="2268"/>
          </w:tcPr>
          <w:p>
            <w:r>
              <w:t>Macq True EM</w:t>
            </w:r>
          </w:p>
        </w:tc>
        <w:tc>
          <w:tcPr>
            <w:tcW w:type="dxa" w:w="1417"/>
          </w:tcPr>
          <w:p>
            <w:r>
              <w:t>16.22</w:t>
            </w:r>
          </w:p>
        </w:tc>
        <w:tc>
          <w:tcPr>
            <w:tcW w:type="dxa" w:w="1417"/>
          </w:tcPr>
          <w:p>
            <w:r>
              <w:t>14.17</w:t>
            </w:r>
          </w:p>
        </w:tc>
      </w:tr>
      <w:tr>
        <w:tc>
          <w:tcPr>
            <w:tcW w:type="dxa" w:w="2268"/>
          </w:tcPr>
          <w:p>
            <w:r>
              <w:rPr>
                <w:b/>
              </w:rPr>
              <w:t>BM: International Shares</w:t>
            </w:r>
          </w:p>
        </w:tc>
        <w:tc>
          <w:tcPr>
            <w:tcW w:type="dxa" w:w="1417"/>
          </w:tcPr>
          <w:p>
            <w:r>
              <w:rPr>
                <w:b/>
              </w:rPr>
              <w:t>18.66</w:t>
            </w:r>
          </w:p>
        </w:tc>
        <w:tc>
          <w:tcPr>
            <w:tcW w:type="dxa" w:w="1417"/>
          </w:tcPr>
          <w:p>
            <w:r>
              <w:rPr>
                <w:b/>
              </w:rPr>
              <w:t>18.44</w:t>
            </w:r>
          </w:p>
        </w:tc>
      </w:tr>
      <w:tr>
        <w:tc>
          <w:tcPr>
            <w:tcW w:type="dxa" w:w="2268"/>
          </w:tcPr>
          <w:p>
            <w:r>
              <w:t>Macq True AREIT</w:t>
            </w:r>
          </w:p>
        </w:tc>
        <w:tc>
          <w:tcPr>
            <w:tcW w:type="dxa" w:w="1417"/>
          </w:tcPr>
          <w:p>
            <w:r>
              <w:t>13.97</w:t>
            </w:r>
          </w:p>
        </w:tc>
        <w:tc>
          <w:tcPr>
            <w:tcW w:type="dxa" w:w="1417"/>
          </w:tcPr>
          <w:p>
            <w:r>
              <w:t>19.16</w:t>
            </w:r>
          </w:p>
        </w:tc>
      </w:tr>
      <w:tr>
        <w:tc>
          <w:tcPr>
            <w:tcW w:type="dxa" w:w="2268"/>
          </w:tcPr>
          <w:p>
            <w:r>
              <w:rPr>
                <w:b/>
              </w:rPr>
              <w:t>BM: Real Assets</w:t>
            </w:r>
          </w:p>
        </w:tc>
        <w:tc>
          <w:tcPr>
            <w:tcW w:type="dxa" w:w="1417"/>
          </w:tcPr>
          <w:p>
            <w:r>
              <w:rPr>
                <w:b/>
              </w:rPr>
              <w:t>9.37</w:t>
            </w:r>
          </w:p>
        </w:tc>
        <w:tc>
          <w:tcPr>
            <w:tcW w:type="dxa" w:w="1417"/>
          </w:tcPr>
          <w:p>
            <w:r>
              <w:rPr>
                <w:b/>
              </w:rPr>
              <w:t>8.25</w:t>
            </w:r>
          </w:p>
        </w:tc>
      </w:tr>
      <w:tr>
        <w:tc>
          <w:tcPr>
            <w:tcW w:type="dxa" w:w="2268"/>
          </w:tcPr>
          <w:p>
            <w:r>
              <w:t>Macq True Aus FI</w:t>
            </w:r>
          </w:p>
        </w:tc>
        <w:tc>
          <w:tcPr>
            <w:tcW w:type="dxa" w:w="1417"/>
          </w:tcPr>
          <w:p>
            <w:r>
              <w:t>6.82</w:t>
            </w:r>
          </w:p>
        </w:tc>
        <w:tc>
          <w:tcPr>
            <w:tcW w:type="dxa" w:w="1417"/>
          </w:tcPr>
          <w:p>
            <w:r>
              <w:t>5.22</w:t>
            </w:r>
          </w:p>
        </w:tc>
      </w:tr>
      <w:tr>
        <w:tc>
          <w:tcPr>
            <w:tcW w:type="dxa" w:w="2268"/>
          </w:tcPr>
          <w:p>
            <w:r>
              <w:t>Macq True Glb Bonds</w:t>
            </w:r>
          </w:p>
        </w:tc>
        <w:tc>
          <w:tcPr>
            <w:tcW w:type="dxa" w:w="1417"/>
          </w:tcPr>
          <w:p>
            <w:r>
              <w:t>6.49</w:t>
            </w:r>
          </w:p>
        </w:tc>
        <w:tc>
          <w:tcPr>
            <w:tcW w:type="dxa" w:w="1417"/>
          </w:tcPr>
          <w:p>
            <w:r>
              <w:t>3.67</w:t>
            </w:r>
          </w:p>
        </w:tc>
      </w:tr>
      <w:tr>
        <w:tc>
          <w:tcPr>
            <w:tcW w:type="dxa" w:w="2268"/>
          </w:tcPr>
          <w:p>
            <w:r>
              <w:rPr>
                <w:b/>
              </w:rPr>
              <w:t>BM: Duration</w:t>
            </w:r>
          </w:p>
        </w:tc>
        <w:tc>
          <w:tcPr>
            <w:tcW w:type="dxa" w:w="1417"/>
          </w:tcPr>
          <w:p>
            <w:r>
              <w:rPr>
                <w:b/>
              </w:rPr>
              <w:t>6.02</w:t>
            </w:r>
          </w:p>
        </w:tc>
        <w:tc>
          <w:tcPr>
            <w:tcW w:type="dxa" w:w="1417"/>
          </w:tcPr>
          <w:p>
            <w:r>
              <w:rPr>
                <w:b/>
              </w:rPr>
              <w:t>4.48</w:t>
            </w:r>
          </w:p>
        </w:tc>
      </w:tr>
      <w:tr>
        <w:tc>
          <w:tcPr>
            <w:tcW w:type="dxa" w:w="2268"/>
          </w:tcPr>
          <w:p>
            <w:r>
              <w:t>Macq True Cash</w:t>
            </w:r>
          </w:p>
        </w:tc>
        <w:tc>
          <w:tcPr>
            <w:tcW w:type="dxa" w:w="1417"/>
          </w:tcPr>
          <w:p>
            <w:r>
              <w:t>4.38</w:t>
            </w:r>
          </w:p>
        </w:tc>
        <w:tc>
          <w:tcPr>
            <w:tcW w:type="dxa" w:w="1417"/>
          </w:tcPr>
          <w:p>
            <w:r>
              <w:t>4.37</w:t>
            </w:r>
          </w:p>
        </w:tc>
      </w:tr>
    </w:tbl>
    <w:p>
      <w:pPr>
        <w:pStyle w:val="Note"/>
      </w:pPr>
      <w:r>
        <w:t>Inception Date: 30 June 2022</w:t>
      </w:r>
    </w:p>
    <w:p>
      <w:pPr>
        <w:pStyle w:val="BodyStyle"/>
      </w:pPr>
      <w:r>
        <w:t>Underlying investment manager returns are shown after fees and before tax</w:t>
      </w:r>
    </w:p>
    <w:br w:type="column"/>
    <w:p>
      <w:pPr>
        <w:pStyle w:val="Heading20"/>
      </w:pPr>
      <w:r>
        <w:t>Market Update</w:t>
      </w:r>
    </w:p>
    <w:p>
      <w:pPr>
        <w:pStyle w:val="BodyStyle"/>
      </w:pPr>
      <w:r>
        <w:t>The Australian share market rose for the third consecutive month rising a modest +1.1% for the month but a stellar +16% since April and +10.2% for the 12 months to June 2025, after a +7.8% rise one year earlier and +9.6% in the year end June 2023. Performance during the year was mainly driven by technology and financial sectors.</w:t>
        <w:br/>
        <w:br/>
        <w:t>Australia’s economy grew 0.2% q-o-q in Q1 2025. While this fell short of the 0.4% market forecast, it marked the 14th consecutive quarter of expansion. OECD adjusted its GDP growth forecast for Australia in 2025 from 1.9% to 1.8%.</w:t>
        <w:br/>
        <w:br/>
        <w:t>Australian household net worth reached A$17.3 trillion in the March quarter, up from A$16.2 trillion a year earlier. Property remained the largest asset class at A$11.7 trillion, growing by 5.9% annually. Superannuation assets increased by 6.6% to A$4.14 trillion, while shares and equities rose by 8% to A$1.57 trillion.</w:t>
        <w:br/>
        <w:br/>
        <w:t>The World Bank left its forecast for China unchanged at 4.5% from January, saying Beijing still had monetary and fiscal space to support its economy and stimulate growth.</w:t>
        <w:br/>
        <w:br/>
        <w:t>President Trump has upended global trade with a series of on-again, off-again tariff hikes that have increased the effective U.S. tariff rate from below 3% to the mid-teens - its highest level in almost a century - and triggered retaliation by China and other countries.</w:t>
        <w:br/>
        <w:br/>
        <w:t>The US economy remained resilient in June, with equity markets hitting record highs amid easing geopolitical risks from the Iran-Israel ceasefire and a rollback of reciprocal tariffs. Expectations for 2–3 Fed rate cuts by year-end strengthened as inflation showed signs of moderation and financial conditions remained supportive.</w:t>
        <w:br/>
        <w:br/>
        <w:t>A weakening U.S. dollar has reinvigorated investor interest in Emerging Market assets. Notably, emerging market local currency debt experienced a resurgence, with bond funds recording eight consecutive weeks of inflows and returns exceeding 10% year-to-date.</w:t>
        <w:br/>
        <w:br/>
        <w:t>The eurozone's GDP is projected to grow by 0.9% in 2025, a downward revision from earlier forecasts, primarily due to heightened trade tensions and global uncertainty. Inflation is expected to average 2.0% in 2025, aligning with the European Central Bank's (ECB) target, before dipping to 1.6%.</w:t>
        <w:br/>
        <w:br/>
        <w:t>The US 10-year yield rose over the month as strong jobs data and sticky inflation reduced the likelihood of a July Fed rate cut, while fiscal concerns mounted following Senate approval of a $3.3 trillion deficit-financed tax bill.</w:t>
        <w:br/>
        <w:br/>
        <w:t>Australian government bond yields ended June slightly higher at the long end, while the 2-year yield eased as markets began to price in rate cuts in 2026 amid softening growth momentum. The yield curve steepened modestly, with RBA commentary remaining hawkish due to persistent services inflation and a tight labour market.</w:t>
        <w:br/>
        <w:br/>
        <w:t>Gold miners delivered 60% for the year. Gold is set to surpass metallurgical coal to become Australia's 3rd biggest resource export earner in 2025–2026.</w:t>
        <w:br/>
        <w:br/>
      </w:r>
    </w:p>
    <w:p>
      <w:pPr>
        <w:pStyle w:val="Heading20"/>
      </w:pPr>
      <w:r>
        <w:t>Fine Print</w:t>
      </w:r>
    </w:p>
    <w:p>
      <w:pPr>
        <w:pStyle w:val="Note"/>
      </w:pPr>
      <w:r>
        <w:t>Important Notice: This document is published by TAG Asset Consulting Group Pty Ltd, trading as Atchison Consultants, ABN 58 097 703 047, AFSL 230 846. Atchison Consultants distributes its investment solutions via platform and dealer groups (financial advisory groups).</w:t>
      </w:r>
    </w:p>
    <w:p>
      <w:pPr>
        <w:pStyle w:val="Note"/>
      </w:pPr>
    </w:p>
    <w:p>
      <w:pPr>
        <w:pStyle w:val="Note"/>
      </w:pPr>
      <w:r>
        <w:t>Warning: Please be advised that past performance is not indicative of future performance. The returns discussed herein are based on model asset allocations and are for illustrative purposes only. Actual returns may differ due to variations in fees, timing of model change implementation, and the need to substitute individual holdings where reliable data was not available from our data providers. Any insights or recommendations provided in this document are intended for general advice purposes only and are based on our opinion of the investment merits of the financial products discussed, independent of the financial circumstances of any individual. Before proceeding with any investment based on the information provided, recipients must assess its suitability to their financial situation and consider seeking advice from an independent financial advisor.</w:t>
      </w:r>
    </w:p>
    <w:p>
      <w:pPr>
        <w:pStyle w:val="Note"/>
      </w:pPr>
    </w:p>
    <w:p>
      <w:pPr>
        <w:pStyle w:val="Note"/>
      </w:pPr>
      <w:r>
        <w:t>Disclaimer: While care is taken to ensure the accuracy and completeness of the information presented herein, no warranties or representations are made as to its reliability. The content provided is derived from publicly available sources, or external data providers, which have not been independently verified by Atchison Consultants. Atchison Consultants, along with its directors, officers, employees, and agents, expressly disclaims any liability for errors, inaccuracies, or omissions in this document, as well as for any loss or damage that may arise from reliance on its contents. Readers are cautioned to verify all information independently before taking any actions based on this report.</w:t>
      </w:r>
    </w:p>
    <w:sectPr w:rsidR="005E14BC" w:rsidRPr="001C33C8" w:rsidSect="000C01EB">
      <w:type w:val="continuous"/>
      <w:pgSz w:w="11900" w:h="16840" w:code="9"/>
      <w:pgMar w:top="0" w:right="420" w:bottom="0" w:left="425" w:header="0" w:footer="726" w:gutter="0"/>
      <w:docGrid w:linePitch="360"/>
      <w:cols w:num="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4F110" w14:textId="77777777" w:rsidR="00EC1404" w:rsidRDefault="00EC1404" w:rsidP="007B4373">
      <w:r>
        <w:separator/>
      </w:r>
    </w:p>
  </w:endnote>
  <w:endnote w:type="continuationSeparator" w:id="0">
    <w:p w14:paraId="7A11A369" w14:textId="77777777" w:rsidR="00EC1404" w:rsidRDefault="00EC1404"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173BF" w14:textId="77777777" w:rsidR="005B64E3" w:rsidRDefault="005B64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48599FFE" w:rsidR="0057386D" w:rsidRDefault="00DF12F7" w:rsidP="002F4B28">
    <w:pPr>
      <w:pStyle w:val="Footer"/>
      <w:tabs>
        <w:tab w:val="clear" w:pos="4513"/>
        <w:tab w:val="clear" w:pos="9026"/>
      </w:tabs>
    </w:pPr>
    <w:r>
      <w:rPr>
        <w:noProof/>
      </w:rPr>
      <mc:AlternateContent>
        <mc:Choice Requires="wps">
          <w:drawing>
            <wp:anchor distT="4294967286" distB="4294967286" distL="114300" distR="114300" simplePos="0" relativeHeight="251649536" behindDoc="0" locked="0" layoutInCell="1" allowOverlap="1" wp14:anchorId="51235B58" wp14:editId="53366E12">
              <wp:simplePos x="0" y="0"/>
              <wp:positionH relativeFrom="margin">
                <wp:posOffset>0</wp:posOffset>
              </wp:positionH>
              <wp:positionV relativeFrom="page">
                <wp:posOffset>10124440</wp:posOffset>
              </wp:positionV>
              <wp:extent cx="6934200"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93420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C66C28D" id="Straight Connector 9" o:spid="_x0000_s1026" style="position:absolute;flip:y;z-index:251649536;visibility:visible;mso-wrap-style:square;mso-width-percent:0;mso-height-percent:0;mso-wrap-distance-left:9pt;mso-wrap-distance-top:-28e-5mm;mso-wrap-distance-right:9pt;mso-wrap-distance-bottom:-28e-5mm;mso-position-horizontal:absolute;mso-position-horizontal-relative:margin;mso-position-vertical:absolute;mso-position-vertical-relative:page;mso-width-percent:0;mso-height-percent:0;mso-width-relative:page;mso-height-relative:page" from="0,797.2pt" to="546pt,79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" strokecolor="#3d545e" strokeweight=".5pt">
              <v:stroke joinstyle="miter"/>
              <o:lock v:ext="edit" shapetype="f"/>
              <w10:wrap anchorx="margin" anchory="page"/>
            </v:line>
          </w:pict>
        </mc:Fallback>
      </mc:AlternateContent>
    </w:r>
    <w:r>
      <w:rPr>
        <w:noProof/>
      </w:rPr>
      <mc:AlternateContent>
        <mc:Choice Requires="wps">
          <w:drawing>
            <wp:anchor distT="0" distB="0" distL="114300" distR="114300" simplePos="0" relativeHeight="251654656" behindDoc="0" locked="0" layoutInCell="1" allowOverlap="1" wp14:anchorId="2E8614D7" wp14:editId="315BA938">
              <wp:simplePos x="0" y="0"/>
              <wp:positionH relativeFrom="column">
                <wp:posOffset>6587490</wp:posOffset>
              </wp:positionH>
              <wp:positionV relativeFrom="page">
                <wp:posOffset>10172700</wp:posOffset>
              </wp:positionV>
              <wp:extent cx="19050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9050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518.7pt;margin-top:801pt;width:15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0C9" w14:textId="2B309A7B" w:rsidR="005F6BD8" w:rsidRDefault="002976D3" w:rsidP="00E916A2">
    <w:pPr>
      <w:pStyle w:val="Footer"/>
      <w:tabs>
        <w:tab w:val="clear" w:pos="9026"/>
      </w:tabs>
    </w:pPr>
    <w:r>
      <w:rPr>
        <w:noProof/>
      </w:rPr>
      <mc:AlternateContent>
        <mc:Choice Requires="wps">
          <w:drawing>
            <wp:anchor distT="4294967286" distB="4294967286" distL="114300" distR="114300" simplePos="0" relativeHeight="251719168" behindDoc="0" locked="0" layoutInCell="1" allowOverlap="1" wp14:anchorId="4DF33864" wp14:editId="627120AF">
              <wp:simplePos x="0" y="0"/>
              <wp:positionH relativeFrom="margin">
                <wp:posOffset>0</wp:posOffset>
              </wp:positionH>
              <wp:positionV relativeFrom="page">
                <wp:posOffset>10095865</wp:posOffset>
              </wp:positionV>
              <wp:extent cx="6800850" cy="9525"/>
              <wp:effectExtent l="0" t="0" r="19050" b="2857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00850" cy="9525"/>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B234CCC" id="Straight Connector 4" o:spid="_x0000_s1026" style="position:absolute;z-index:251719168;visibility:visible;mso-wrap-style:square;mso-width-percent:0;mso-height-percent:0;mso-wrap-distance-left:9pt;mso-wrap-distance-top:-28e-5mm;mso-wrap-distance-right:9pt;mso-wrap-distance-bottom:-28e-5mm;mso-position-horizontal:absolute;mso-position-horizontal-relative:margin;mso-position-vertical:absolute;mso-position-vertical-relative:page;mso-width-percent:0;mso-height-percent:0;mso-width-relative:page;mso-height-relative:page" from="0,794.95pt" to="535.5pt,79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" strokecolor="#3d545e" strokeweight=".5pt">
              <v:stroke joinstyle="miter"/>
              <o:lock v:ext="edit" shapetype="f"/>
              <w10:wrap anchorx="margin" anchory="page"/>
            </v:line>
          </w:pict>
        </mc:Fallback>
      </mc:AlternateContent>
    </w:r>
    <w:r>
      <w:rPr>
        <w:noProof/>
      </w:rPr>
      <mc:AlternateContent>
        <mc:Choice Requires="wps">
          <w:drawing>
            <wp:anchor distT="0" distB="0" distL="114300" distR="114300" simplePos="0" relativeHeight="251720192" behindDoc="0" locked="0" layoutInCell="1" allowOverlap="1" wp14:anchorId="49980B01" wp14:editId="02A3271F">
              <wp:simplePos x="0" y="0"/>
              <wp:positionH relativeFrom="column">
                <wp:posOffset>5968365</wp:posOffset>
              </wp:positionH>
              <wp:positionV relativeFrom="page">
                <wp:posOffset>10187305</wp:posOffset>
              </wp:positionV>
              <wp:extent cx="788670" cy="248285"/>
              <wp:effectExtent l="0" t="0" r="1143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78867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95pt;margin-top:802.15pt;width:62.1pt;height:19.55pt;flip:x;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AD7EB" w14:textId="77777777" w:rsidR="00EC1404" w:rsidRDefault="00EC1404" w:rsidP="007B4373">
      <w:r>
        <w:separator/>
      </w:r>
    </w:p>
  </w:footnote>
  <w:footnote w:type="continuationSeparator" w:id="0">
    <w:p w14:paraId="32251D29" w14:textId="77777777" w:rsidR="00EC1404" w:rsidRDefault="00EC1404"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EB7E6" w14:textId="77777777" w:rsidR="005B64E3" w:rsidRDefault="005B64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7603A" w14:textId="77777777" w:rsidR="005B64E3" w:rsidRDefault="005B64E3">
    <w:pPr>
      <w:rPr>
        <w:sz w:val="36"/>
        <w:szCs w:val="32"/>
      </w:rPr>
    </w:pPr>
  </w:p>
  <w:p w14:paraId="1A2E350C" w14:textId="724ED1AC" w:rsidR="001C33C8" w:rsidRDefault="00844973">
    <w:r w:rsidRPr="005A6718">
      <w:rPr>
        <w:b/>
        <w:bCs/>
        <w:noProof/>
      </w:rPr>
      <w:drawing>
        <wp:anchor distT="0" distB="288290" distL="0" distR="0" simplePos="0" relativeHeight="251724288" behindDoc="1" locked="0" layoutInCell="1" allowOverlap="1" wp14:anchorId="46544061" wp14:editId="2A81C8E8">
          <wp:simplePos x="0" y="0"/>
          <wp:positionH relativeFrom="page">
            <wp:posOffset>0</wp:posOffset>
          </wp:positionH>
          <wp:positionV relativeFrom="page">
            <wp:posOffset>-76200</wp:posOffset>
          </wp:positionV>
          <wp:extent cx="7559675" cy="1702435"/>
          <wp:effectExtent l="0" t="0" r="3175" b="0"/>
          <wp:wrapNone/>
          <wp:docPr id="7073760"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59675" cy="17024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BB94FC" w14:textId="77777777" w:rsidR="001C33C8" w:rsidRDefault="001C33C8"/>
  <w:p w14:paraId="4DCA8871" w14:textId="77777777" w:rsidR="001C33C8" w:rsidRDefault="001C33C8"/>
  <w:p w14:paraId="7664C6BC" w14:textId="77777777" w:rsidR="001C33C8" w:rsidRDefault="001C33C8"/>
  <w:p w14:paraId="28C28B14" w14:textId="77777777" w:rsidR="001C33C8" w:rsidRDefault="001C33C8"/>
  <w:p w14:paraId="1F390310" w14:textId="77777777" w:rsidR="001C33C8" w:rsidRDefault="001C33C8"/>
  <w:p w14:paraId="06CE26D7" w14:textId="77777777" w:rsidR="001C33C8" w:rsidRDefault="001C33C8"/>
  <w:p w14:paraId="0ACFE8D4" w14:textId="77777777" w:rsidR="001C33C8" w:rsidRDefault="001C33C8"/>
  <w:p w14:paraId="2DC183F1" w14:textId="77777777" w:rsidR="001C33C8" w:rsidRDefault="001C33C8"/>
  <w:p w14:paraId="35035C8C" w14:textId="093754A3" w:rsidR="00D67117" w:rsidRDefault="00D6711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DC8A3" w14:textId="5A16BAAD" w:rsidR="00E916A2" w:rsidRDefault="00E916A2">
    <w:pPr>
      <w:pStyle w:val="Header"/>
    </w:pPr>
    <w:r w:rsidRPr="005A6718">
      <w:rPr>
        <w:b/>
        <w:bCs/>
        <w:noProof/>
      </w:rPr>
      <w:drawing>
        <wp:anchor distT="0" distB="288290" distL="0" distR="0" simplePos="0" relativeHeight="251722240" behindDoc="1" locked="0" layoutInCell="1" allowOverlap="1" wp14:anchorId="35047829" wp14:editId="02859780">
          <wp:simplePos x="0" y="0"/>
          <wp:positionH relativeFrom="page">
            <wp:align>left</wp:align>
          </wp:positionH>
          <wp:positionV relativeFrom="page">
            <wp:posOffset>-104775</wp:posOffset>
          </wp:positionV>
          <wp:extent cx="7560000" cy="1702800"/>
          <wp:effectExtent l="0" t="0" r="3175" b="0"/>
          <wp:wrapNone/>
          <wp:docPr id="1184967208"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60000" cy="1702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46BA"/>
    <w:rsid w:val="000171ED"/>
    <w:rsid w:val="00020228"/>
    <w:rsid w:val="00023D2C"/>
    <w:rsid w:val="00043148"/>
    <w:rsid w:val="000459E1"/>
    <w:rsid w:val="000532D3"/>
    <w:rsid w:val="00056847"/>
    <w:rsid w:val="000678CC"/>
    <w:rsid w:val="000757DE"/>
    <w:rsid w:val="00080973"/>
    <w:rsid w:val="00087F53"/>
    <w:rsid w:val="000955EA"/>
    <w:rsid w:val="000A228B"/>
    <w:rsid w:val="000A304C"/>
    <w:rsid w:val="000A62F1"/>
    <w:rsid w:val="000A6B34"/>
    <w:rsid w:val="000B1D78"/>
    <w:rsid w:val="000B3BF3"/>
    <w:rsid w:val="000C01EB"/>
    <w:rsid w:val="000C7749"/>
    <w:rsid w:val="000D087D"/>
    <w:rsid w:val="000D6FA5"/>
    <w:rsid w:val="000E01D9"/>
    <w:rsid w:val="000E1D69"/>
    <w:rsid w:val="000E1F6A"/>
    <w:rsid w:val="000E6D21"/>
    <w:rsid w:val="000F02AC"/>
    <w:rsid w:val="000F20C5"/>
    <w:rsid w:val="000F44F8"/>
    <w:rsid w:val="001033FC"/>
    <w:rsid w:val="00115153"/>
    <w:rsid w:val="0011786F"/>
    <w:rsid w:val="00122DFD"/>
    <w:rsid w:val="0012448B"/>
    <w:rsid w:val="00124523"/>
    <w:rsid w:val="00125EA6"/>
    <w:rsid w:val="0012798C"/>
    <w:rsid w:val="001329E3"/>
    <w:rsid w:val="00133452"/>
    <w:rsid w:val="00135755"/>
    <w:rsid w:val="00136695"/>
    <w:rsid w:val="00141FCE"/>
    <w:rsid w:val="00142864"/>
    <w:rsid w:val="00160144"/>
    <w:rsid w:val="00165987"/>
    <w:rsid w:val="001824B5"/>
    <w:rsid w:val="001845F0"/>
    <w:rsid w:val="001964BA"/>
    <w:rsid w:val="001B3171"/>
    <w:rsid w:val="001C1706"/>
    <w:rsid w:val="001C21BB"/>
    <w:rsid w:val="001C33C8"/>
    <w:rsid w:val="001D529D"/>
    <w:rsid w:val="001D6606"/>
    <w:rsid w:val="001E6B7E"/>
    <w:rsid w:val="001F3D92"/>
    <w:rsid w:val="001F5791"/>
    <w:rsid w:val="002001E8"/>
    <w:rsid w:val="00205192"/>
    <w:rsid w:val="0020556B"/>
    <w:rsid w:val="00205695"/>
    <w:rsid w:val="0021075E"/>
    <w:rsid w:val="00217EC2"/>
    <w:rsid w:val="00221A34"/>
    <w:rsid w:val="002239A0"/>
    <w:rsid w:val="00230F55"/>
    <w:rsid w:val="002363CC"/>
    <w:rsid w:val="0024534D"/>
    <w:rsid w:val="00253974"/>
    <w:rsid w:val="0025644B"/>
    <w:rsid w:val="00257642"/>
    <w:rsid w:val="0025781D"/>
    <w:rsid w:val="002623DE"/>
    <w:rsid w:val="0026385F"/>
    <w:rsid w:val="002654BE"/>
    <w:rsid w:val="002669A4"/>
    <w:rsid w:val="00273AFA"/>
    <w:rsid w:val="00296F75"/>
    <w:rsid w:val="002976D3"/>
    <w:rsid w:val="00297D02"/>
    <w:rsid w:val="002A4CDE"/>
    <w:rsid w:val="002B121D"/>
    <w:rsid w:val="002C227E"/>
    <w:rsid w:val="002C3024"/>
    <w:rsid w:val="002F1ED0"/>
    <w:rsid w:val="002F2626"/>
    <w:rsid w:val="002F4B28"/>
    <w:rsid w:val="00313554"/>
    <w:rsid w:val="00314513"/>
    <w:rsid w:val="00326B16"/>
    <w:rsid w:val="00335364"/>
    <w:rsid w:val="0034552F"/>
    <w:rsid w:val="003827F0"/>
    <w:rsid w:val="00385652"/>
    <w:rsid w:val="003950AC"/>
    <w:rsid w:val="003A75A7"/>
    <w:rsid w:val="003A7A7E"/>
    <w:rsid w:val="003B017B"/>
    <w:rsid w:val="003B1B03"/>
    <w:rsid w:val="003B518C"/>
    <w:rsid w:val="003B7D5F"/>
    <w:rsid w:val="003C4951"/>
    <w:rsid w:val="003C6E88"/>
    <w:rsid w:val="003C77AB"/>
    <w:rsid w:val="003D67B8"/>
    <w:rsid w:val="003D68AD"/>
    <w:rsid w:val="003E21B6"/>
    <w:rsid w:val="003F581A"/>
    <w:rsid w:val="0040435A"/>
    <w:rsid w:val="00406CE0"/>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2256"/>
    <w:rsid w:val="004B37EF"/>
    <w:rsid w:val="004B3CB6"/>
    <w:rsid w:val="004C4416"/>
    <w:rsid w:val="004D0895"/>
    <w:rsid w:val="004D7F2D"/>
    <w:rsid w:val="004E523F"/>
    <w:rsid w:val="004F05E9"/>
    <w:rsid w:val="004F1681"/>
    <w:rsid w:val="004F5A87"/>
    <w:rsid w:val="005052AC"/>
    <w:rsid w:val="00505C77"/>
    <w:rsid w:val="0051204C"/>
    <w:rsid w:val="00513EF0"/>
    <w:rsid w:val="0051406F"/>
    <w:rsid w:val="0051469E"/>
    <w:rsid w:val="00517E90"/>
    <w:rsid w:val="00521981"/>
    <w:rsid w:val="005250C4"/>
    <w:rsid w:val="00544C13"/>
    <w:rsid w:val="005460DA"/>
    <w:rsid w:val="0056683C"/>
    <w:rsid w:val="00567CEE"/>
    <w:rsid w:val="0057386D"/>
    <w:rsid w:val="0058272A"/>
    <w:rsid w:val="00582FF9"/>
    <w:rsid w:val="0059421B"/>
    <w:rsid w:val="00595E5D"/>
    <w:rsid w:val="005961BD"/>
    <w:rsid w:val="005968B1"/>
    <w:rsid w:val="005A0EF5"/>
    <w:rsid w:val="005A237C"/>
    <w:rsid w:val="005A26E3"/>
    <w:rsid w:val="005A45D0"/>
    <w:rsid w:val="005B0B31"/>
    <w:rsid w:val="005B64E3"/>
    <w:rsid w:val="005D3D76"/>
    <w:rsid w:val="005D4B57"/>
    <w:rsid w:val="005D4CD1"/>
    <w:rsid w:val="005D6C2C"/>
    <w:rsid w:val="005E14B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8360E"/>
    <w:rsid w:val="006A0003"/>
    <w:rsid w:val="006A0F2E"/>
    <w:rsid w:val="006A100F"/>
    <w:rsid w:val="006A3FD4"/>
    <w:rsid w:val="006A4E4D"/>
    <w:rsid w:val="006B1FBF"/>
    <w:rsid w:val="006B77B2"/>
    <w:rsid w:val="006B7AFE"/>
    <w:rsid w:val="006D16B5"/>
    <w:rsid w:val="006D7990"/>
    <w:rsid w:val="006E17F5"/>
    <w:rsid w:val="006F444A"/>
    <w:rsid w:val="006F5D86"/>
    <w:rsid w:val="006F7298"/>
    <w:rsid w:val="00706481"/>
    <w:rsid w:val="0072067A"/>
    <w:rsid w:val="00724410"/>
    <w:rsid w:val="00725745"/>
    <w:rsid w:val="00733A9C"/>
    <w:rsid w:val="00736F70"/>
    <w:rsid w:val="00744F32"/>
    <w:rsid w:val="007516EF"/>
    <w:rsid w:val="00755321"/>
    <w:rsid w:val="00757DFF"/>
    <w:rsid w:val="00760AA9"/>
    <w:rsid w:val="00765873"/>
    <w:rsid w:val="00765B60"/>
    <w:rsid w:val="00780A4E"/>
    <w:rsid w:val="00787223"/>
    <w:rsid w:val="00794ED1"/>
    <w:rsid w:val="007A113B"/>
    <w:rsid w:val="007A2E69"/>
    <w:rsid w:val="007A3C41"/>
    <w:rsid w:val="007A7C78"/>
    <w:rsid w:val="007B3AE3"/>
    <w:rsid w:val="007B4373"/>
    <w:rsid w:val="007C0B68"/>
    <w:rsid w:val="007C1956"/>
    <w:rsid w:val="007C2B46"/>
    <w:rsid w:val="007C4FCC"/>
    <w:rsid w:val="007D2662"/>
    <w:rsid w:val="007E3707"/>
    <w:rsid w:val="007F0027"/>
    <w:rsid w:val="007F1468"/>
    <w:rsid w:val="00800868"/>
    <w:rsid w:val="00804D15"/>
    <w:rsid w:val="008246D8"/>
    <w:rsid w:val="00824E97"/>
    <w:rsid w:val="00825259"/>
    <w:rsid w:val="00834DA8"/>
    <w:rsid w:val="00837192"/>
    <w:rsid w:val="00844973"/>
    <w:rsid w:val="0084698F"/>
    <w:rsid w:val="00846DA6"/>
    <w:rsid w:val="00846E9E"/>
    <w:rsid w:val="008505BC"/>
    <w:rsid w:val="00856676"/>
    <w:rsid w:val="00861314"/>
    <w:rsid w:val="00862B20"/>
    <w:rsid w:val="00874B61"/>
    <w:rsid w:val="00884731"/>
    <w:rsid w:val="008855EA"/>
    <w:rsid w:val="008A37A8"/>
    <w:rsid w:val="008A65C5"/>
    <w:rsid w:val="008B0016"/>
    <w:rsid w:val="008B1956"/>
    <w:rsid w:val="008C3EEA"/>
    <w:rsid w:val="008C607D"/>
    <w:rsid w:val="008D7F4A"/>
    <w:rsid w:val="008F1AD2"/>
    <w:rsid w:val="008F3DAD"/>
    <w:rsid w:val="008F459D"/>
    <w:rsid w:val="00900F06"/>
    <w:rsid w:val="00904A1E"/>
    <w:rsid w:val="0090685D"/>
    <w:rsid w:val="00913EC6"/>
    <w:rsid w:val="00914225"/>
    <w:rsid w:val="00914411"/>
    <w:rsid w:val="00914957"/>
    <w:rsid w:val="00917410"/>
    <w:rsid w:val="00917CB2"/>
    <w:rsid w:val="00936DA7"/>
    <w:rsid w:val="00945C4E"/>
    <w:rsid w:val="009577DE"/>
    <w:rsid w:val="00970FE4"/>
    <w:rsid w:val="0098143D"/>
    <w:rsid w:val="00992A45"/>
    <w:rsid w:val="009A294C"/>
    <w:rsid w:val="009C649D"/>
    <w:rsid w:val="009D7522"/>
    <w:rsid w:val="009F1FED"/>
    <w:rsid w:val="00A0244E"/>
    <w:rsid w:val="00A04E2C"/>
    <w:rsid w:val="00A1378C"/>
    <w:rsid w:val="00A138F2"/>
    <w:rsid w:val="00A23D1E"/>
    <w:rsid w:val="00A41C60"/>
    <w:rsid w:val="00A42EB9"/>
    <w:rsid w:val="00A57748"/>
    <w:rsid w:val="00A6563B"/>
    <w:rsid w:val="00A75CFB"/>
    <w:rsid w:val="00A80A2D"/>
    <w:rsid w:val="00A81E8D"/>
    <w:rsid w:val="00A90A13"/>
    <w:rsid w:val="00AA0C33"/>
    <w:rsid w:val="00AD0802"/>
    <w:rsid w:val="00AD3230"/>
    <w:rsid w:val="00AD4678"/>
    <w:rsid w:val="00AD561F"/>
    <w:rsid w:val="00AD6F21"/>
    <w:rsid w:val="00AE1753"/>
    <w:rsid w:val="00AE7AAE"/>
    <w:rsid w:val="00B022D0"/>
    <w:rsid w:val="00B12514"/>
    <w:rsid w:val="00B318C3"/>
    <w:rsid w:val="00B41343"/>
    <w:rsid w:val="00B4171F"/>
    <w:rsid w:val="00B47B9C"/>
    <w:rsid w:val="00B54909"/>
    <w:rsid w:val="00B55051"/>
    <w:rsid w:val="00B60B1B"/>
    <w:rsid w:val="00B6345E"/>
    <w:rsid w:val="00B82E6B"/>
    <w:rsid w:val="00B8410E"/>
    <w:rsid w:val="00B936D9"/>
    <w:rsid w:val="00BA5A06"/>
    <w:rsid w:val="00BB68EE"/>
    <w:rsid w:val="00BC4145"/>
    <w:rsid w:val="00BD1E39"/>
    <w:rsid w:val="00BD36D0"/>
    <w:rsid w:val="00BE3AD8"/>
    <w:rsid w:val="00BE55E7"/>
    <w:rsid w:val="00BF08B9"/>
    <w:rsid w:val="00BF2265"/>
    <w:rsid w:val="00BF3B9F"/>
    <w:rsid w:val="00BF57D3"/>
    <w:rsid w:val="00C115AC"/>
    <w:rsid w:val="00C13B14"/>
    <w:rsid w:val="00C2020C"/>
    <w:rsid w:val="00C22003"/>
    <w:rsid w:val="00C25181"/>
    <w:rsid w:val="00C26A95"/>
    <w:rsid w:val="00C31C53"/>
    <w:rsid w:val="00C33904"/>
    <w:rsid w:val="00C5115D"/>
    <w:rsid w:val="00C57FDE"/>
    <w:rsid w:val="00C6136A"/>
    <w:rsid w:val="00C61941"/>
    <w:rsid w:val="00C82745"/>
    <w:rsid w:val="00C91811"/>
    <w:rsid w:val="00C943B7"/>
    <w:rsid w:val="00CA5F42"/>
    <w:rsid w:val="00CB2768"/>
    <w:rsid w:val="00CC1414"/>
    <w:rsid w:val="00CC25E0"/>
    <w:rsid w:val="00CD6FA3"/>
    <w:rsid w:val="00CD731E"/>
    <w:rsid w:val="00CE62E7"/>
    <w:rsid w:val="00CE6C7F"/>
    <w:rsid w:val="00CF110A"/>
    <w:rsid w:val="00CF626C"/>
    <w:rsid w:val="00CF6357"/>
    <w:rsid w:val="00D01265"/>
    <w:rsid w:val="00D01C8E"/>
    <w:rsid w:val="00D03D4B"/>
    <w:rsid w:val="00D065F2"/>
    <w:rsid w:val="00D066A3"/>
    <w:rsid w:val="00D10C92"/>
    <w:rsid w:val="00D1254D"/>
    <w:rsid w:val="00D14B14"/>
    <w:rsid w:val="00D15223"/>
    <w:rsid w:val="00D16796"/>
    <w:rsid w:val="00D207B2"/>
    <w:rsid w:val="00D367E0"/>
    <w:rsid w:val="00D44E46"/>
    <w:rsid w:val="00D50911"/>
    <w:rsid w:val="00D523A8"/>
    <w:rsid w:val="00D64770"/>
    <w:rsid w:val="00D67117"/>
    <w:rsid w:val="00D72ECE"/>
    <w:rsid w:val="00D76439"/>
    <w:rsid w:val="00D84356"/>
    <w:rsid w:val="00D8447B"/>
    <w:rsid w:val="00D86C13"/>
    <w:rsid w:val="00D95C05"/>
    <w:rsid w:val="00DA335B"/>
    <w:rsid w:val="00DA62BD"/>
    <w:rsid w:val="00DB3D87"/>
    <w:rsid w:val="00DC7252"/>
    <w:rsid w:val="00DD0C88"/>
    <w:rsid w:val="00DD3C69"/>
    <w:rsid w:val="00DD4AF2"/>
    <w:rsid w:val="00DD5F51"/>
    <w:rsid w:val="00DD739B"/>
    <w:rsid w:val="00DE2A58"/>
    <w:rsid w:val="00DF12F7"/>
    <w:rsid w:val="00DF422E"/>
    <w:rsid w:val="00E10391"/>
    <w:rsid w:val="00E20344"/>
    <w:rsid w:val="00E22922"/>
    <w:rsid w:val="00E2313F"/>
    <w:rsid w:val="00E23AB5"/>
    <w:rsid w:val="00E34E9E"/>
    <w:rsid w:val="00E5036A"/>
    <w:rsid w:val="00E543AD"/>
    <w:rsid w:val="00E54C89"/>
    <w:rsid w:val="00E55184"/>
    <w:rsid w:val="00E57A7B"/>
    <w:rsid w:val="00E6127E"/>
    <w:rsid w:val="00E61CBB"/>
    <w:rsid w:val="00E66779"/>
    <w:rsid w:val="00E66F0E"/>
    <w:rsid w:val="00E70701"/>
    <w:rsid w:val="00E70A17"/>
    <w:rsid w:val="00E916A2"/>
    <w:rsid w:val="00EA181A"/>
    <w:rsid w:val="00EA4D0C"/>
    <w:rsid w:val="00EA6AC1"/>
    <w:rsid w:val="00EA6C34"/>
    <w:rsid w:val="00EA766A"/>
    <w:rsid w:val="00EA796A"/>
    <w:rsid w:val="00EB1923"/>
    <w:rsid w:val="00EB2D05"/>
    <w:rsid w:val="00EC1404"/>
    <w:rsid w:val="00EC148D"/>
    <w:rsid w:val="00EE07B0"/>
    <w:rsid w:val="00EE0E27"/>
    <w:rsid w:val="00EE3F7E"/>
    <w:rsid w:val="00EE6D45"/>
    <w:rsid w:val="00EF0BC8"/>
    <w:rsid w:val="00EF3428"/>
    <w:rsid w:val="00EF61EC"/>
    <w:rsid w:val="00F03A32"/>
    <w:rsid w:val="00F03CBE"/>
    <w:rsid w:val="00F21F5A"/>
    <w:rsid w:val="00F22A97"/>
    <w:rsid w:val="00F32A55"/>
    <w:rsid w:val="00F32E5A"/>
    <w:rsid w:val="00F33E68"/>
    <w:rsid w:val="00F366B8"/>
    <w:rsid w:val="00F47873"/>
    <w:rsid w:val="00F51361"/>
    <w:rsid w:val="00F53743"/>
    <w:rsid w:val="00F703BA"/>
    <w:rsid w:val="00F83688"/>
    <w:rsid w:val="00F91EE9"/>
    <w:rsid w:val="00F92BFC"/>
    <w:rsid w:val="00FB356D"/>
    <w:rsid w:val="00FB71BE"/>
    <w:rsid w:val="00FC03E8"/>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0">
    <w:name w:val="Heading1"/>
    <w:basedOn w:val="Heading1"/>
    <w:qFormat/>
    <w:rsid w:val="008F3DAD"/>
    <w:pPr>
      <w:numPr>
        <w:numId w:val="0"/>
      </w:numPr>
      <w:spacing w:before="240" w:after="120"/>
    </w:pPr>
    <w:rPr>
      <w:color w:val="75C104"/>
    </w:r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AtchisonTable1">
    <w:name w:val="AtchisonTable1"/>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Heading30">
    <w:name w:val="Heading3"/>
    <w:basedOn w:val="Normal"/>
    <w:link w:val="Heading3Char0"/>
    <w:qFormat/>
    <w:rsid w:val="00800868"/>
    <w:pPr>
      <w:spacing w:before="240"/>
    </w:pPr>
    <w:rPr>
      <w:b/>
      <w:i/>
      <w:color w:val="75C104" w:themeColor="accent6"/>
      <w:sz w:val="18"/>
    </w:rPr>
  </w:style>
  <w:style w:type="character" w:customStyle="1" w:styleId="Heading3Char0">
    <w:name w:val="Heading3 Char"/>
    <w:basedOn w:val="DefaultParagraphFont"/>
    <w:link w:val="Heading30"/>
    <w:rsid w:val="00800868"/>
    <w:rPr>
      <w:rFonts w:cs="Times New Roman (Body CS)"/>
      <w:b/>
      <w:i/>
      <w:color w:val="75C104" w:themeColor="accent6"/>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C148D"/>
    <w:rPr>
      <w:i/>
      <w:color w:val="1C5F69"/>
      <w:sz w:val="16"/>
    </w:rPr>
  </w:style>
  <w:style w:type="character" w:customStyle="1" w:styleId="NoteChar">
    <w:name w:val="Note Char"/>
    <w:basedOn w:val="DefaultParagraphFont"/>
    <w:link w:val="Note"/>
    <w:rsid w:val="00EC148D"/>
    <w:rPr>
      <w:rFonts w:cs="Times New Roman (Body CS)"/>
      <w:i/>
      <w:color w:val="1C5F69"/>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 w:type="paragraph" w:customStyle="1" w:styleId="Heading20">
    <w:name w:val="Heading2"/>
    <w:basedOn w:val="Heading2-nonumbers"/>
    <w:qFormat/>
    <w:rsid w:val="008F3DAD"/>
    <w:pPr>
      <w:spacing w:before="240"/>
    </w:pPr>
    <w:rPr>
      <w:color w:val="75C10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77093238">
      <w:bodyDiv w:val="1"/>
      <w:marLeft w:val="0"/>
      <w:marRight w:val="0"/>
      <w:marTop w:val="0"/>
      <w:marBottom w:val="0"/>
      <w:divBdr>
        <w:top w:val="none" w:sz="0" w:space="0" w:color="auto"/>
        <w:left w:val="none" w:sz="0" w:space="0" w:color="auto"/>
        <w:bottom w:val="none" w:sz="0" w:space="0" w:color="auto"/>
        <w:right w:val="none" w:sz="0" w:space="0" w:color="auto"/>
      </w:divBdr>
      <w:divsChild>
        <w:div w:id="55713674">
          <w:marLeft w:val="0"/>
          <w:marRight w:val="0"/>
          <w:marTop w:val="0"/>
          <w:marBottom w:val="0"/>
          <w:divBdr>
            <w:top w:val="none" w:sz="0" w:space="0" w:color="auto"/>
            <w:left w:val="none" w:sz="0" w:space="0" w:color="auto"/>
            <w:bottom w:val="none" w:sz="0" w:space="0" w:color="auto"/>
            <w:right w:val="none" w:sz="0" w:space="0" w:color="auto"/>
          </w:divBdr>
        </w:div>
      </w:divsChild>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53516691">
      <w:bodyDiv w:val="1"/>
      <w:marLeft w:val="0"/>
      <w:marRight w:val="0"/>
      <w:marTop w:val="0"/>
      <w:marBottom w:val="0"/>
      <w:divBdr>
        <w:top w:val="none" w:sz="0" w:space="0" w:color="auto"/>
        <w:left w:val="none" w:sz="0" w:space="0" w:color="auto"/>
        <w:bottom w:val="none" w:sz="0" w:space="0" w:color="auto"/>
        <w:right w:val="none" w:sz="0" w:space="0" w:color="auto"/>
      </w:divBdr>
      <w:divsChild>
        <w:div w:id="1241213237">
          <w:marLeft w:val="0"/>
          <w:marRight w:val="0"/>
          <w:marTop w:val="0"/>
          <w:marBottom w:val="0"/>
          <w:divBdr>
            <w:top w:val="none" w:sz="0" w:space="0" w:color="auto"/>
            <w:left w:val="none" w:sz="0" w:space="0" w:color="auto"/>
            <w:bottom w:val="none" w:sz="0" w:space="0" w:color="auto"/>
            <w:right w:val="none" w:sz="0" w:space="0" w:color="auto"/>
          </w:divBdr>
        </w:div>
      </w:divsChild>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17afb16e0fbe716d3dcf2481b32b5550">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f6d0bb8d4e6a5d6b988ea2ed2503dbb5"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2.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3.xml><?xml version="1.0" encoding="utf-8"?>
<ds:datastoreItem xmlns:ds="http://schemas.openxmlformats.org/officeDocument/2006/customXml" ds:itemID="{8755120E-120F-492C-8F62-4A444EBFBADE}">
  <ds:schemaRefs>
    <ds:schemaRef ds:uri="http://schemas.microsoft.com/sharepoint/v3/contenttype/forms"/>
  </ds:schemaRefs>
</ds:datastoreItem>
</file>

<file path=customXml/itemProps4.xml><?xml version="1.0" encoding="utf-8"?>
<ds:datastoreItem xmlns:ds="http://schemas.openxmlformats.org/officeDocument/2006/customXml" ds:itemID="{7A0F0D45-B5B0-4593-81B9-A8D609F217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76e320-99cb-4a11-b59f-8bf32867ab70"/>
    <ds:schemaRef ds:uri="c0789f30-979e-497b-8344-faefb39875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734</TotalTime>
  <Pages>2</Pages>
  <Words>0</Words>
  <Characters>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Kevin Toohey</cp:lastModifiedBy>
  <cp:revision>170</cp:revision>
  <cp:lastPrinted>2022-04-29T02:04:00Z</cp:lastPrinted>
  <dcterms:created xsi:type="dcterms:W3CDTF">2022-07-06T04:09:00Z</dcterms:created>
  <dcterms:modified xsi:type="dcterms:W3CDTF">2025-02-18T15:08:00Z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