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84FE9" w14:textId="3810BB25" w:rsidR="00C43598" w:rsidRDefault="00000000">
      <w:pPr>
        <w:spacing w:before="280" w:after="40"/>
        <w:jc w:val="center"/>
        <w:rPr>
          <w:b/>
          <w:caps/>
          <w:color w:val="0B2E37"/>
          <w:sz w:val="34"/>
          <w:lang w:val="pt-BR"/>
        </w:rPr>
      </w:pPr>
      <w:r w:rsidRPr="004D792D">
        <w:rPr>
          <w:b/>
          <w:caps/>
          <w:color w:val="0B2E37"/>
          <w:sz w:val="34"/>
          <w:lang w:val="pt-BR"/>
        </w:rPr>
        <w:t>FICHA TÉCNICA</w:t>
      </w:r>
      <w:r w:rsidR="004D792D">
        <w:rPr>
          <w:b/>
          <w:caps/>
          <w:color w:val="0B2E37"/>
          <w:sz w:val="34"/>
          <w:lang w:val="pt-BR"/>
        </w:rPr>
        <w:t xml:space="preserve"> - </w:t>
      </w:r>
      <w:r w:rsidR="004D792D" w:rsidRPr="004D792D">
        <w:rPr>
          <w:b/>
          <w:caps/>
          <w:color w:val="0B2E37"/>
          <w:sz w:val="34"/>
          <w:lang w:val="pt-BR"/>
        </w:rPr>
        <w:t>Orçamento nº 127/2026</w:t>
      </w:r>
    </w:p>
    <w:p w14:paraId="5D714D88" w14:textId="77777777" w:rsidR="004D792D" w:rsidRDefault="004D792D">
      <w:pPr>
        <w:spacing w:before="280" w:after="40"/>
        <w:jc w:val="center"/>
        <w:rPr>
          <w:b/>
          <w:caps/>
          <w:color w:val="0B2E37"/>
          <w:sz w:val="34"/>
          <w:lang w:val="pt-BR"/>
        </w:rPr>
      </w:pPr>
    </w:p>
    <w:p w14:paraId="5BA22798" w14:textId="77777777" w:rsidR="004D792D" w:rsidRPr="004D792D" w:rsidRDefault="004D792D">
      <w:pPr>
        <w:spacing w:before="280" w:after="40"/>
        <w:jc w:val="center"/>
        <w:rPr>
          <w:lang w:val="pt-BR"/>
        </w:rPr>
      </w:pPr>
    </w:p>
    <w:p w14:paraId="190E59D1" w14:textId="77777777" w:rsidR="00C43598" w:rsidRPr="004D792D" w:rsidRDefault="00000000">
      <w:pPr>
        <w:spacing w:after="200"/>
        <w:jc w:val="center"/>
        <w:rPr>
          <w:b/>
          <w:bCs/>
          <w:lang w:val="pt-BR"/>
        </w:rPr>
      </w:pPr>
      <w:r w:rsidRPr="004D792D">
        <w:rPr>
          <w:b/>
          <w:bCs/>
          <w:color w:val="3C4A52"/>
          <w:sz w:val="19"/>
          <w:lang w:val="pt-BR"/>
        </w:rPr>
        <w:t>NEXOR GERENCIADOR — funcionalidades por área e expectativas de uso</w:t>
      </w:r>
    </w:p>
    <w:p w14:paraId="569854EE" w14:textId="77777777" w:rsidR="00C43598" w:rsidRPr="004D792D" w:rsidRDefault="00000000">
      <w:pPr>
        <w:rPr>
          <w:lang w:val="pt-BR"/>
        </w:rPr>
      </w:pPr>
      <w:r w:rsidRPr="004D792D">
        <w:rPr>
          <w:lang w:val="pt-BR"/>
        </w:rPr>
        <w:t xml:space="preserve">Aba a aba, as funcionalidades do sistema </w:t>
      </w:r>
      <w:r w:rsidRPr="004D792D">
        <w:rPr>
          <w:b/>
          <w:bCs/>
          <w:u w:val="single"/>
          <w:lang w:val="pt-BR"/>
        </w:rPr>
        <w:t>NEXOR GERENCIADOR</w:t>
      </w:r>
      <w:r w:rsidRPr="004D792D">
        <w:rPr>
          <w:lang w:val="pt-BR"/>
        </w:rPr>
        <w:t>, contratado no Orçamento nº 127/2026, e o que se espera da ferramenta em cada área.</w:t>
      </w:r>
    </w:p>
    <w:p w14:paraId="2CFF1C88" w14:textId="77777777" w:rsidR="00C43598" w:rsidRDefault="00000000">
      <w:pPr>
        <w:pBdr>
          <w:bottom w:val="single" w:sz="6" w:space="2" w:color="BEC9CE"/>
        </w:pBdr>
        <w:spacing w:before="200"/>
      </w:pPr>
      <w:r>
        <w:rPr>
          <w:b/>
          <w:color w:val="0B5563"/>
          <w:sz w:val="22"/>
        </w:rPr>
        <w:t>1. Composição geral</w:t>
      </w:r>
    </w:p>
    <w:p w14:paraId="51F660BA" w14:textId="4A1D2F4C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Sistema web, acessado pelo navegador; pode ser embutido no site da empresa.</w:t>
      </w:r>
      <w:r w:rsidR="004D792D">
        <w:rPr>
          <w:lang w:val="pt-BR"/>
        </w:rPr>
        <w:t xml:space="preserve"> (inicialmente até 2 usuários)</w:t>
      </w:r>
    </w:p>
    <w:p w14:paraId="73E998CF" w14:textId="5B2DC19C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Dados na nuvem, login individual e histórico de auditoria.</w:t>
      </w:r>
      <w:r w:rsidR="004D792D">
        <w:rPr>
          <w:lang w:val="pt-BR"/>
        </w:rPr>
        <w:t xml:space="preserve"> (armazenamento e hospedagem mensalidade)</w:t>
      </w:r>
    </w:p>
    <w:p w14:paraId="639823D9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Fluxo em cadeia: Pedido → Orçamento → Ordem de Serviço → Caixa, com os cadastros alimentando todas as etapas.</w:t>
      </w:r>
    </w:p>
    <w:p w14:paraId="5EA43657" w14:textId="77777777" w:rsidR="00C43598" w:rsidRPr="004D792D" w:rsidRDefault="00000000">
      <w:pPr>
        <w:spacing w:before="60" w:after="40"/>
        <w:rPr>
          <w:lang w:val="pt-BR"/>
        </w:rPr>
      </w:pPr>
      <w:r w:rsidRPr="004D792D">
        <w:rPr>
          <w:b/>
          <w:color w:val="0B2E37"/>
          <w:sz w:val="19"/>
          <w:lang w:val="pt-BR"/>
        </w:rPr>
        <w:t xml:space="preserve">O que se espera da ferramenta: </w:t>
      </w:r>
      <w:r w:rsidRPr="004D792D">
        <w:rPr>
          <w:i/>
          <w:sz w:val="19"/>
          <w:lang w:val="pt-BR"/>
        </w:rPr>
        <w:t>uma única base para toda a operação, no lugar de planilhas soltas.</w:t>
      </w:r>
    </w:p>
    <w:p w14:paraId="5CC580C5" w14:textId="77777777" w:rsidR="00C43598" w:rsidRDefault="00000000">
      <w:pPr>
        <w:pBdr>
          <w:bottom w:val="single" w:sz="6" w:space="2" w:color="BEC9CE"/>
        </w:pBdr>
        <w:spacing w:before="200"/>
      </w:pPr>
      <w:r>
        <w:rPr>
          <w:b/>
          <w:color w:val="0B5563"/>
          <w:sz w:val="22"/>
        </w:rPr>
        <w:t>2. Painel — Indicadores</w:t>
      </w:r>
    </w:p>
    <w:p w14:paraId="1FE9E541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Pedidos, orçamentos e ordens em aberto, com quantidades e valores.</w:t>
      </w:r>
    </w:p>
    <w:p w14:paraId="6B0CA05D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Conversão de orçamentos, ticket médio, margem e ordens concluídas ou em atraso.</w:t>
      </w:r>
    </w:p>
    <w:p w14:paraId="5E710100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Caixa dos últimos 6 meses: a receber, a pagar, vencidos, saldo e próximos vencimentos.</w:t>
      </w:r>
    </w:p>
    <w:p w14:paraId="30404886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Avisos na tela: materiais no estoque mínimo e ordens com previsão vencida.</w:t>
      </w:r>
    </w:p>
    <w:p w14:paraId="2D2B0942" w14:textId="77777777" w:rsidR="00C43598" w:rsidRPr="004D792D" w:rsidRDefault="00000000">
      <w:pPr>
        <w:spacing w:before="60" w:after="40"/>
        <w:rPr>
          <w:lang w:val="pt-BR"/>
        </w:rPr>
      </w:pPr>
      <w:r w:rsidRPr="004D792D">
        <w:rPr>
          <w:b/>
          <w:color w:val="0B2E37"/>
          <w:sz w:val="19"/>
          <w:lang w:val="pt-BR"/>
        </w:rPr>
        <w:t xml:space="preserve">O que se espera da ferramenta: </w:t>
      </w:r>
      <w:r w:rsidRPr="004D792D">
        <w:rPr>
          <w:i/>
          <w:sz w:val="19"/>
          <w:lang w:val="pt-BR"/>
        </w:rPr>
        <w:t>acompanhar o negócio em uma tela, com números do dia, sem montar planilha própria.</w:t>
      </w:r>
    </w:p>
    <w:p w14:paraId="670EF4E0" w14:textId="77777777" w:rsidR="00C43598" w:rsidRDefault="00000000">
      <w:pPr>
        <w:pBdr>
          <w:bottom w:val="single" w:sz="6" w:space="2" w:color="BEC9CE"/>
        </w:pBdr>
        <w:spacing w:before="200"/>
      </w:pPr>
      <w:r>
        <w:rPr>
          <w:b/>
          <w:color w:val="0B5563"/>
          <w:sz w:val="22"/>
        </w:rPr>
        <w:t>3. Pedidos</w:t>
      </w:r>
    </w:p>
    <w:p w14:paraId="43D535A7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Demandas por cliente, com descrição, prioridade e prazo desejado.</w:t>
      </w:r>
    </w:p>
    <w:p w14:paraId="6578204E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Situação: Novo → Em análise → Orçado, ou cancelamento.</w:t>
      </w:r>
    </w:p>
    <w:p w14:paraId="4C7C4BF8" w14:textId="77777777" w:rsidR="00C43598" w:rsidRPr="004D792D" w:rsidRDefault="00000000">
      <w:pPr>
        <w:spacing w:before="60" w:after="40"/>
        <w:rPr>
          <w:lang w:val="pt-BR"/>
        </w:rPr>
      </w:pPr>
      <w:r w:rsidRPr="004D792D">
        <w:rPr>
          <w:b/>
          <w:color w:val="0B2E37"/>
          <w:sz w:val="19"/>
          <w:lang w:val="pt-BR"/>
        </w:rPr>
        <w:t xml:space="preserve">O que se espera da ferramenta: </w:t>
      </w:r>
      <w:r w:rsidRPr="004D792D">
        <w:rPr>
          <w:i/>
          <w:sz w:val="19"/>
          <w:lang w:val="pt-BR"/>
        </w:rPr>
        <w:t>nenhum pedido se perde; cada um segue para orçamento.</w:t>
      </w:r>
    </w:p>
    <w:p w14:paraId="577B37B1" w14:textId="77777777" w:rsidR="00C43598" w:rsidRDefault="00000000">
      <w:pPr>
        <w:pBdr>
          <w:bottom w:val="single" w:sz="6" w:space="2" w:color="BEC9CE"/>
        </w:pBdr>
        <w:spacing w:before="200"/>
      </w:pPr>
      <w:r>
        <w:rPr>
          <w:b/>
          <w:color w:val="0B5563"/>
          <w:sz w:val="22"/>
        </w:rPr>
        <w:t>4. Orçamentos</w:t>
      </w:r>
    </w:p>
    <w:p w14:paraId="2D146FE5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Itens montados com a tabela de serviços e materiais; subtotal, desconto e total calculados.</w:t>
      </w:r>
    </w:p>
    <w:p w14:paraId="041581EE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 xml:space="preserve">Situação: Rascunho, Enviado, Aprovado, Recusado, </w:t>
      </w:r>
      <w:proofErr w:type="gramStart"/>
      <w:r w:rsidRPr="004D792D">
        <w:rPr>
          <w:lang w:val="pt-BR"/>
        </w:rPr>
        <w:t>Expirado</w:t>
      </w:r>
      <w:proofErr w:type="gramEnd"/>
      <w:r w:rsidRPr="004D792D">
        <w:rPr>
          <w:lang w:val="pt-BR"/>
        </w:rPr>
        <w:t>, com validade configurável.</w:t>
      </w:r>
    </w:p>
    <w:p w14:paraId="482643DA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Orçamento em PDF com a identidade da empresa; quando aprovado, gera a ordem de serviço.</w:t>
      </w:r>
    </w:p>
    <w:p w14:paraId="7F05EB77" w14:textId="77777777" w:rsidR="00C43598" w:rsidRPr="004D792D" w:rsidRDefault="00000000">
      <w:pPr>
        <w:spacing w:before="60" w:after="40"/>
        <w:rPr>
          <w:lang w:val="pt-BR"/>
        </w:rPr>
      </w:pPr>
      <w:r w:rsidRPr="004D792D">
        <w:rPr>
          <w:b/>
          <w:color w:val="0B2E37"/>
          <w:sz w:val="19"/>
          <w:lang w:val="pt-BR"/>
        </w:rPr>
        <w:t xml:space="preserve">O que se espera da ferramenta: </w:t>
      </w:r>
      <w:r w:rsidRPr="004D792D">
        <w:rPr>
          <w:i/>
          <w:sz w:val="19"/>
          <w:lang w:val="pt-BR"/>
        </w:rPr>
        <w:t>propostas corretas e padronizadas em minutos, com resultado rastreável.</w:t>
      </w:r>
    </w:p>
    <w:p w14:paraId="21273C4D" w14:textId="77777777" w:rsidR="00C43598" w:rsidRDefault="00000000">
      <w:pPr>
        <w:pBdr>
          <w:bottom w:val="single" w:sz="6" w:space="2" w:color="BEC9CE"/>
        </w:pBdr>
        <w:spacing w:before="200"/>
      </w:pPr>
      <w:r>
        <w:rPr>
          <w:b/>
          <w:color w:val="0B5563"/>
          <w:sz w:val="22"/>
        </w:rPr>
        <w:t>5. Ordens de Serviço</w:t>
      </w:r>
    </w:p>
    <w:p w14:paraId="79412A6A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Vinculada ao orçamento aprovado, com responsável, itens, previsão de entrega e conclusão.</w:t>
      </w:r>
    </w:p>
    <w:p w14:paraId="5405198B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Totais e custo de materiais calculados; baixa automática do estoque ao concluir ou faturar.</w:t>
      </w:r>
    </w:p>
    <w:p w14:paraId="62B1DF35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 xml:space="preserve">Situação: Aberta, </w:t>
      </w:r>
      <w:proofErr w:type="gramStart"/>
      <w:r w:rsidRPr="004D792D">
        <w:rPr>
          <w:lang w:val="pt-BR"/>
        </w:rPr>
        <w:t>Em</w:t>
      </w:r>
      <w:proofErr w:type="gramEnd"/>
      <w:r w:rsidRPr="004D792D">
        <w:rPr>
          <w:lang w:val="pt-BR"/>
        </w:rPr>
        <w:t xml:space="preserve"> andamento, Concluída, Faturada, </w:t>
      </w:r>
      <w:proofErr w:type="gramStart"/>
      <w:r w:rsidRPr="004D792D">
        <w:rPr>
          <w:lang w:val="pt-BR"/>
        </w:rPr>
        <w:t>Cancelada</w:t>
      </w:r>
      <w:proofErr w:type="gramEnd"/>
      <w:r w:rsidRPr="004D792D">
        <w:rPr>
          <w:lang w:val="pt-BR"/>
        </w:rPr>
        <w:t>; documento em PDF.</w:t>
      </w:r>
    </w:p>
    <w:p w14:paraId="5CCCDBCE" w14:textId="77777777" w:rsidR="00C43598" w:rsidRPr="004D792D" w:rsidRDefault="00000000">
      <w:pPr>
        <w:spacing w:before="60" w:after="40"/>
        <w:rPr>
          <w:lang w:val="pt-BR"/>
        </w:rPr>
      </w:pPr>
      <w:r w:rsidRPr="004D792D">
        <w:rPr>
          <w:b/>
          <w:color w:val="0B2E37"/>
          <w:sz w:val="19"/>
          <w:lang w:val="pt-BR"/>
        </w:rPr>
        <w:t xml:space="preserve">O que se espera da ferramenta: </w:t>
      </w:r>
      <w:r w:rsidRPr="004D792D">
        <w:rPr>
          <w:i/>
          <w:sz w:val="19"/>
          <w:lang w:val="pt-BR"/>
        </w:rPr>
        <w:t>saber o que está em execução, o custo real de cada serviço e o que já foi faturado.</w:t>
      </w:r>
    </w:p>
    <w:p w14:paraId="3A1948BA" w14:textId="77777777" w:rsidR="00C43598" w:rsidRDefault="00000000">
      <w:pPr>
        <w:pBdr>
          <w:bottom w:val="single" w:sz="6" w:space="2" w:color="BEC9CE"/>
        </w:pBdr>
        <w:spacing w:before="200"/>
      </w:pPr>
      <w:r>
        <w:rPr>
          <w:b/>
          <w:color w:val="0B5563"/>
          <w:sz w:val="22"/>
        </w:rPr>
        <w:t>6. Financeiro</w:t>
      </w:r>
    </w:p>
    <w:p w14:paraId="7707C7B5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Entradas e saídas com categoria, forma de pagamento, vencimento e situação (Pendente, Pago, Cancelado).</w:t>
      </w:r>
    </w:p>
    <w:p w14:paraId="0085572E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Lançamentos ligados a ordens de serviço; a data de pagamento é gravada ao marcar como pago.</w:t>
      </w:r>
    </w:p>
    <w:p w14:paraId="166E2CE5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Situação do caixa e próximos vencimentos refletidos nos indicadores.</w:t>
      </w:r>
    </w:p>
    <w:p w14:paraId="1BBD14FA" w14:textId="77777777" w:rsidR="00C43598" w:rsidRPr="004D792D" w:rsidRDefault="00000000">
      <w:pPr>
        <w:spacing w:before="60" w:after="40"/>
        <w:rPr>
          <w:lang w:val="pt-BR"/>
        </w:rPr>
      </w:pPr>
      <w:r w:rsidRPr="004D792D">
        <w:rPr>
          <w:b/>
          <w:color w:val="0B2E37"/>
          <w:sz w:val="19"/>
          <w:lang w:val="pt-BR"/>
        </w:rPr>
        <w:lastRenderedPageBreak/>
        <w:t xml:space="preserve">O que se espera da ferramenta: </w:t>
      </w:r>
      <w:r w:rsidRPr="004D792D">
        <w:rPr>
          <w:i/>
          <w:sz w:val="19"/>
          <w:lang w:val="pt-BR"/>
        </w:rPr>
        <w:t>visão clara de quanto entra e sai e dos prazos a receber, sem depender de memória.</w:t>
      </w:r>
    </w:p>
    <w:p w14:paraId="3FDA7A3F" w14:textId="77777777" w:rsidR="00C43598" w:rsidRDefault="00000000">
      <w:pPr>
        <w:pBdr>
          <w:bottom w:val="single" w:sz="6" w:space="2" w:color="BEC9CE"/>
        </w:pBdr>
        <w:spacing w:before="200"/>
      </w:pPr>
      <w:r>
        <w:rPr>
          <w:b/>
          <w:color w:val="0B5563"/>
          <w:sz w:val="22"/>
        </w:rPr>
        <w:t>7. Cadastros — Clientes e Fornecedores</w:t>
      </w:r>
    </w:p>
    <w:p w14:paraId="3B90A6A8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Clientes com contato, documento, cidade, origem e controle ativo/inativo.</w:t>
      </w:r>
    </w:p>
    <w:p w14:paraId="37563C12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Fornecedores com prazos de entrega e pagamento.</w:t>
      </w:r>
    </w:p>
    <w:p w14:paraId="024B4B7F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Cliente com vínculo em pedidos, orçamentos ou ordens não é excluído por engano.</w:t>
      </w:r>
    </w:p>
    <w:p w14:paraId="1D9BE928" w14:textId="77777777" w:rsidR="00C43598" w:rsidRPr="004D792D" w:rsidRDefault="00000000">
      <w:pPr>
        <w:spacing w:before="60" w:after="40"/>
        <w:rPr>
          <w:lang w:val="pt-BR"/>
        </w:rPr>
      </w:pPr>
      <w:r w:rsidRPr="004D792D">
        <w:rPr>
          <w:b/>
          <w:color w:val="0B2E37"/>
          <w:sz w:val="19"/>
          <w:lang w:val="pt-BR"/>
        </w:rPr>
        <w:t xml:space="preserve">O que se espera da ferramenta: </w:t>
      </w:r>
      <w:r w:rsidRPr="004D792D">
        <w:rPr>
          <w:i/>
          <w:sz w:val="19"/>
          <w:lang w:val="pt-BR"/>
        </w:rPr>
        <w:t>carteira única e confiável, sem duplicidade, usada em todo o fluxo.</w:t>
      </w:r>
    </w:p>
    <w:p w14:paraId="014C68D9" w14:textId="77777777" w:rsidR="00C43598" w:rsidRDefault="00000000">
      <w:pPr>
        <w:pBdr>
          <w:bottom w:val="single" w:sz="6" w:space="2" w:color="BEC9CE"/>
        </w:pBdr>
        <w:spacing w:before="200"/>
      </w:pPr>
      <w:r>
        <w:rPr>
          <w:b/>
          <w:color w:val="0B5563"/>
          <w:sz w:val="22"/>
        </w:rPr>
        <w:t>8. Estoque — Materiais e Movimentações</w:t>
      </w:r>
    </w:p>
    <w:p w14:paraId="6B5EF19F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Estoque atual e mínimo, com custo e preço de venda por material.</w:t>
      </w:r>
    </w:p>
    <w:p w14:paraId="346841B9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Movimentações de entrada, saída, ajuste e estorno, com data, usuário e saldo após o lançamento.</w:t>
      </w:r>
    </w:p>
    <w:p w14:paraId="1EAE16DF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Baixa automática pelo consumo das ordens de serviço.</w:t>
      </w:r>
    </w:p>
    <w:p w14:paraId="17B0397D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Aviso no painel quando um material atinge o estoque mínimo.</w:t>
      </w:r>
    </w:p>
    <w:p w14:paraId="5E9A2708" w14:textId="77777777" w:rsidR="00C43598" w:rsidRPr="004D792D" w:rsidRDefault="00000000">
      <w:pPr>
        <w:spacing w:before="60" w:after="40"/>
        <w:rPr>
          <w:lang w:val="pt-BR"/>
        </w:rPr>
      </w:pPr>
      <w:r w:rsidRPr="004D792D">
        <w:rPr>
          <w:b/>
          <w:color w:val="0B2E37"/>
          <w:sz w:val="19"/>
          <w:lang w:val="pt-BR"/>
        </w:rPr>
        <w:t xml:space="preserve">O que se espera da ferramenta: </w:t>
      </w:r>
      <w:r w:rsidRPr="004D792D">
        <w:rPr>
          <w:i/>
          <w:sz w:val="19"/>
          <w:lang w:val="pt-BR"/>
        </w:rPr>
        <w:t>saber o que há em estoque, o valor parado e quando reabastecer.</w:t>
      </w:r>
    </w:p>
    <w:p w14:paraId="5AD847B4" w14:textId="77777777" w:rsidR="00C43598" w:rsidRDefault="00000000">
      <w:pPr>
        <w:pBdr>
          <w:bottom w:val="single" w:sz="6" w:space="2" w:color="BEC9CE"/>
        </w:pBdr>
        <w:spacing w:before="200"/>
      </w:pPr>
      <w:r>
        <w:rPr>
          <w:b/>
          <w:color w:val="0B5563"/>
          <w:sz w:val="22"/>
        </w:rPr>
        <w:t>9. Atividades (tabela de serviços)</w:t>
      </w:r>
    </w:p>
    <w:p w14:paraId="3643B083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Serviços com código próprio (5 dígitos), unidade e valor unitário.</w:t>
      </w:r>
    </w:p>
    <w:p w14:paraId="5DD76F8C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Base para os itens de orçamentos e ordens de serviço.</w:t>
      </w:r>
    </w:p>
    <w:p w14:paraId="2CDF4585" w14:textId="77777777" w:rsidR="00C43598" w:rsidRPr="004D792D" w:rsidRDefault="00000000">
      <w:pPr>
        <w:spacing w:before="60" w:after="40"/>
        <w:rPr>
          <w:lang w:val="pt-BR"/>
        </w:rPr>
      </w:pPr>
      <w:r w:rsidRPr="004D792D">
        <w:rPr>
          <w:b/>
          <w:color w:val="0B2E37"/>
          <w:sz w:val="19"/>
          <w:lang w:val="pt-BR"/>
        </w:rPr>
        <w:t xml:space="preserve">O que se espera da ferramenta: </w:t>
      </w:r>
      <w:r w:rsidRPr="004D792D">
        <w:rPr>
          <w:i/>
          <w:sz w:val="19"/>
          <w:lang w:val="pt-BR"/>
        </w:rPr>
        <w:t>itens padronizados, sem redigitar a cada proposta.</w:t>
      </w:r>
    </w:p>
    <w:p w14:paraId="0C7ADC3B" w14:textId="77777777" w:rsidR="00C43598" w:rsidRDefault="00000000">
      <w:pPr>
        <w:pBdr>
          <w:bottom w:val="single" w:sz="6" w:space="2" w:color="BEC9CE"/>
        </w:pBdr>
        <w:spacing w:before="200"/>
      </w:pPr>
      <w:r>
        <w:rPr>
          <w:b/>
          <w:color w:val="0B5563"/>
          <w:sz w:val="22"/>
        </w:rPr>
        <w:t>10. Usuários e Configurações</w:t>
      </w:r>
    </w:p>
    <w:p w14:paraId="605F7FE6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Perfis de acesso definem o que cada pessoa pode ver, criar, editar ou excluir.</w:t>
      </w:r>
    </w:p>
    <w:p w14:paraId="4ABA8ACC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Administração central: usuários, dados da empresa, logotipo, validade, prazos e rodapé dos documentos.</w:t>
      </w:r>
    </w:p>
    <w:p w14:paraId="716B91B1" w14:textId="77777777" w:rsidR="00C43598" w:rsidRPr="004D792D" w:rsidRDefault="00000000">
      <w:pPr>
        <w:spacing w:before="60" w:after="40"/>
        <w:rPr>
          <w:lang w:val="pt-BR"/>
        </w:rPr>
      </w:pPr>
      <w:r w:rsidRPr="004D792D">
        <w:rPr>
          <w:b/>
          <w:color w:val="0B2E37"/>
          <w:sz w:val="19"/>
          <w:lang w:val="pt-BR"/>
        </w:rPr>
        <w:t xml:space="preserve">O que se espera da ferramenta: </w:t>
      </w:r>
      <w:r w:rsidRPr="004D792D">
        <w:rPr>
          <w:i/>
          <w:sz w:val="19"/>
          <w:lang w:val="pt-BR"/>
        </w:rPr>
        <w:t>cada usuário com as permissões corretas e configuração protegida.</w:t>
      </w:r>
    </w:p>
    <w:p w14:paraId="46C12E7C" w14:textId="77777777" w:rsidR="00C43598" w:rsidRDefault="00000000">
      <w:pPr>
        <w:pBdr>
          <w:bottom w:val="single" w:sz="6" w:space="2" w:color="BEC9CE"/>
        </w:pBdr>
        <w:spacing w:before="200"/>
      </w:pPr>
      <w:r>
        <w:rPr>
          <w:b/>
          <w:color w:val="0B5563"/>
          <w:sz w:val="22"/>
        </w:rPr>
        <w:t>11. Documentos e integridade</w:t>
      </w:r>
    </w:p>
    <w:p w14:paraId="7C211632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Orçamentos e ordens de serviço emitidos em PDF com a marca da empresa.</w:t>
      </w:r>
    </w:p>
    <w:p w14:paraId="1C5D837D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Auditoria de criação e alteração em todos os cadastros e movimentações.</w:t>
      </w:r>
    </w:p>
    <w:p w14:paraId="4A8A07AF" w14:textId="77777777" w:rsidR="00C43598" w:rsidRPr="004D792D" w:rsidRDefault="00000000">
      <w:pPr>
        <w:spacing w:before="60" w:after="40"/>
        <w:rPr>
          <w:lang w:val="pt-BR"/>
        </w:rPr>
      </w:pPr>
      <w:r w:rsidRPr="004D792D">
        <w:rPr>
          <w:b/>
          <w:color w:val="0B2E37"/>
          <w:sz w:val="19"/>
          <w:lang w:val="pt-BR"/>
        </w:rPr>
        <w:t xml:space="preserve">O que se espera da ferramenta: </w:t>
      </w:r>
      <w:r w:rsidRPr="004D792D">
        <w:rPr>
          <w:i/>
          <w:sz w:val="19"/>
          <w:lang w:val="pt-BR"/>
        </w:rPr>
        <w:t>apresentação profissional e rastreabilidade do que foi alterado.</w:t>
      </w:r>
    </w:p>
    <w:p w14:paraId="2C55A409" w14:textId="77777777" w:rsidR="00C43598" w:rsidRPr="004D792D" w:rsidRDefault="00000000">
      <w:pPr>
        <w:pBdr>
          <w:bottom w:val="single" w:sz="6" w:space="2" w:color="BEC9CE"/>
        </w:pBdr>
        <w:spacing w:before="200"/>
        <w:rPr>
          <w:lang w:val="pt-BR"/>
        </w:rPr>
      </w:pPr>
      <w:r w:rsidRPr="004D792D">
        <w:rPr>
          <w:b/>
          <w:color w:val="0B5563"/>
          <w:sz w:val="22"/>
          <w:lang w:val="pt-BR"/>
        </w:rPr>
        <w:t>12. Resumo do que se espera da ferramenta</w:t>
      </w:r>
    </w:p>
    <w:p w14:paraId="6C82B07A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Mais organização — uma fonte única para pedidos, propostas, serviços, estoque e caixa.</w:t>
      </w:r>
    </w:p>
    <w:p w14:paraId="6CB935E6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Menos retrabalho — totais calculados, itens padronizados e documentos gerados na hora.</w:t>
      </w:r>
    </w:p>
    <w:p w14:paraId="1855A2E1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Controle e segurança — perfis de acesso, login individual e histórico.</w:t>
      </w:r>
    </w:p>
    <w:p w14:paraId="285661FD" w14:textId="7777777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Visibilidade — indicadores e alertas do dia (estoque mínimo e atrasos).</w:t>
      </w:r>
    </w:p>
    <w:p w14:paraId="14F9EEFE" w14:textId="05696FB7" w:rsidR="00C43598" w:rsidRPr="004D792D" w:rsidRDefault="00000000">
      <w:pPr>
        <w:pStyle w:val="Commarcadores"/>
        <w:spacing w:after="40"/>
        <w:rPr>
          <w:lang w:val="pt-BR"/>
        </w:rPr>
      </w:pPr>
      <w:r w:rsidRPr="004D792D">
        <w:rPr>
          <w:lang w:val="pt-BR"/>
        </w:rPr>
        <w:t>Autonomia — sistema na web, na nuvem, sem instalação.</w:t>
      </w:r>
    </w:p>
    <w:sectPr w:rsidR="00C43598" w:rsidRPr="004D792D" w:rsidSect="00034616">
      <w:headerReference w:type="default" r:id="rId8"/>
      <w:footerReference w:type="default" r:id="rId9"/>
      <w:pgSz w:w="11906" w:h="16838"/>
      <w:pgMar w:top="1020" w:right="964" w:bottom="907" w:left="96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77D03" w14:textId="77777777" w:rsidR="00803F21" w:rsidRDefault="00803F21">
      <w:pPr>
        <w:spacing w:after="0" w:line="240" w:lineRule="auto"/>
      </w:pPr>
      <w:r>
        <w:separator/>
      </w:r>
    </w:p>
  </w:endnote>
  <w:endnote w:type="continuationSeparator" w:id="0">
    <w:p w14:paraId="5E69F17E" w14:textId="77777777" w:rsidR="00803F21" w:rsidRDefault="0080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3E0EA" w14:textId="77777777" w:rsidR="00C43598" w:rsidRPr="004D792D" w:rsidRDefault="00000000">
    <w:pPr>
      <w:pStyle w:val="Rodap"/>
      <w:jc w:val="center"/>
      <w:rPr>
        <w:lang w:val="pt-BR"/>
      </w:rPr>
    </w:pPr>
    <w:r w:rsidRPr="004D792D">
      <w:rPr>
        <w:color w:val="3C4A52"/>
        <w:sz w:val="15"/>
        <w:lang w:val="pt-BR"/>
      </w:rPr>
      <w:t xml:space="preserve">Ficha Técnica — NEXOR </w:t>
    </w:r>
    <w:proofErr w:type="gramStart"/>
    <w:r w:rsidRPr="004D792D">
      <w:rPr>
        <w:color w:val="3C4A52"/>
        <w:sz w:val="15"/>
        <w:lang w:val="pt-BR"/>
      </w:rPr>
      <w:t>GERENCIADOR  •</w:t>
    </w:r>
    <w:proofErr w:type="gramEnd"/>
    <w:r w:rsidRPr="004D792D">
      <w:rPr>
        <w:color w:val="3C4A52"/>
        <w:sz w:val="15"/>
        <w:lang w:val="pt-BR"/>
      </w:rPr>
      <w:t xml:space="preserve">  ATECSEVEN SOLUÇÕES </w:t>
    </w:r>
    <w:proofErr w:type="gramStart"/>
    <w:r w:rsidRPr="004D792D">
      <w:rPr>
        <w:color w:val="3C4A52"/>
        <w:sz w:val="15"/>
        <w:lang w:val="pt-BR"/>
      </w:rPr>
      <w:t>TECNOLÓGICAS  •</w:t>
    </w:r>
    <w:proofErr w:type="gramEnd"/>
    <w:r w:rsidRPr="004D792D">
      <w:rPr>
        <w:color w:val="3C4A52"/>
        <w:sz w:val="15"/>
        <w:lang w:val="pt-BR"/>
      </w:rPr>
      <w:t xml:space="preserve">  Orçamento nº 127/2026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E756C" w14:textId="77777777" w:rsidR="00803F21" w:rsidRDefault="00803F21">
      <w:pPr>
        <w:spacing w:after="0" w:line="240" w:lineRule="auto"/>
      </w:pPr>
      <w:r>
        <w:separator/>
      </w:r>
    </w:p>
  </w:footnote>
  <w:footnote w:type="continuationSeparator" w:id="0">
    <w:p w14:paraId="593826B2" w14:textId="77777777" w:rsidR="00803F21" w:rsidRDefault="0080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A7322" w14:textId="77777777" w:rsidR="00C43598" w:rsidRDefault="00C43598">
    <w:pPr>
      <w:pStyle w:val="Cabealho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89"/>
      <w:gridCol w:w="4989"/>
    </w:tblGrid>
    <w:tr w:rsidR="00C43598" w14:paraId="3C3AAC53" w14:textId="77777777">
      <w:trPr>
        <w:jc w:val="center"/>
      </w:trPr>
      <w:tc>
        <w:tcPr>
          <w:tcW w:w="4989" w:type="dxa"/>
        </w:tcPr>
        <w:p w14:paraId="01FFA6EA" w14:textId="77777777" w:rsidR="00C43598" w:rsidRDefault="00000000">
          <w:pPr>
            <w:spacing w:after="0"/>
          </w:pPr>
          <w:r>
            <w:rPr>
              <w:noProof/>
            </w:rPr>
            <w:drawing>
              <wp:inline distT="0" distB="0" distL="0" distR="0" wp14:anchorId="630C403E" wp14:editId="6809713F">
                <wp:extent cx="468000" cy="468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ate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9" w:type="dxa"/>
        </w:tcPr>
        <w:p w14:paraId="47B31508" w14:textId="77777777" w:rsidR="00C43598" w:rsidRDefault="00000000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4D4A7F36" wp14:editId="3DFF2816">
                <wp:extent cx="615500" cy="432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nexor.jpe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5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1F1C385" w14:textId="77777777" w:rsidR="00C43598" w:rsidRPr="004D792D" w:rsidRDefault="00000000" w:rsidP="004D792D">
    <w:pPr>
      <w:jc w:val="center"/>
      <w:rPr>
        <w:b/>
        <w:bCs/>
        <w:lang w:val="pt-BR"/>
      </w:rPr>
    </w:pPr>
    <w:r w:rsidRPr="004D792D">
      <w:rPr>
        <w:b/>
        <w:bCs/>
        <w:color w:val="3C4A52"/>
        <w:sz w:val="15"/>
        <w:lang w:val="pt-BR"/>
      </w:rPr>
      <w:t xml:space="preserve">Orçamento nº 127/2026 — NEXOR SERVIÇOS E </w:t>
    </w:r>
    <w:proofErr w:type="gramStart"/>
    <w:r w:rsidRPr="004D792D">
      <w:rPr>
        <w:b/>
        <w:bCs/>
        <w:color w:val="3C4A52"/>
        <w:sz w:val="15"/>
        <w:lang w:val="pt-BR"/>
      </w:rPr>
      <w:t>OBRAS  ·</w:t>
    </w:r>
    <w:proofErr w:type="gramEnd"/>
    <w:r w:rsidRPr="004D792D">
      <w:rPr>
        <w:b/>
        <w:bCs/>
        <w:color w:val="3C4A52"/>
        <w:sz w:val="15"/>
        <w:lang w:val="pt-BR"/>
      </w:rPr>
      <w:t xml:space="preserve">  CNPJ 55.598.224/0001-</w:t>
    </w:r>
    <w:proofErr w:type="gramStart"/>
    <w:r w:rsidRPr="004D792D">
      <w:rPr>
        <w:b/>
        <w:bCs/>
        <w:color w:val="3C4A52"/>
        <w:sz w:val="15"/>
        <w:lang w:val="pt-BR"/>
      </w:rPr>
      <w:t>39  ·</w:t>
    </w:r>
    <w:proofErr w:type="gramEnd"/>
    <w:r w:rsidRPr="004D792D">
      <w:rPr>
        <w:b/>
        <w:bCs/>
        <w:color w:val="3C4A52"/>
        <w:sz w:val="15"/>
        <w:lang w:val="pt-BR"/>
      </w:rPr>
      <w:t xml:space="preserve">  Emissão: 20/09/2026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463429">
    <w:abstractNumId w:val="8"/>
  </w:num>
  <w:num w:numId="2" w16cid:durableId="724182775">
    <w:abstractNumId w:val="6"/>
  </w:num>
  <w:num w:numId="3" w16cid:durableId="24451265">
    <w:abstractNumId w:val="5"/>
  </w:num>
  <w:num w:numId="4" w16cid:durableId="1545218357">
    <w:abstractNumId w:val="4"/>
  </w:num>
  <w:num w:numId="5" w16cid:durableId="635140979">
    <w:abstractNumId w:val="7"/>
  </w:num>
  <w:num w:numId="6" w16cid:durableId="96678225">
    <w:abstractNumId w:val="3"/>
  </w:num>
  <w:num w:numId="7" w16cid:durableId="907348107">
    <w:abstractNumId w:val="2"/>
  </w:num>
  <w:num w:numId="8" w16cid:durableId="222568387">
    <w:abstractNumId w:val="1"/>
  </w:num>
  <w:num w:numId="9" w16cid:durableId="84378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46A"/>
    <w:rsid w:val="0029639D"/>
    <w:rsid w:val="00326F90"/>
    <w:rsid w:val="00456208"/>
    <w:rsid w:val="004D792D"/>
    <w:rsid w:val="00803F21"/>
    <w:rsid w:val="00AA1D8D"/>
    <w:rsid w:val="00B47730"/>
    <w:rsid w:val="00C435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8B8B5B"/>
  <w14:defaultImageDpi w14:val="300"/>
  <w15:docId w15:val="{43BC4BA2-3083-43C6-894F-1B06179D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702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Arnaldo de Sousa Lima</cp:lastModifiedBy>
  <cp:revision>2</cp:revision>
  <cp:lastPrinted>2026-09-21T00:22:00Z</cp:lastPrinted>
  <dcterms:created xsi:type="dcterms:W3CDTF">2013-12-23T23:15:00Z</dcterms:created>
  <dcterms:modified xsi:type="dcterms:W3CDTF">2026-09-21T00:51:00Z</dcterms:modified>
  <cp:category/>
</cp:coreProperties>
</file>