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5"/>
        <w:gridCol w:w="5055"/>
      </w:tblGrid>
      <w:tr>
        <w:trPr>
          <w:trHeight w:hRule="exact" w:val="1444"/>
        </w:trPr>
        <w:tc>
          <w:tcPr>
            <w:tcW w:type="dxa" w:w="155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558"/>
            </w:tblGrid>
            <w:tr>
              <w:trPr>
                <w:trHeight w:hRule="exact" w:val="1586"/>
              </w:trPr>
              <w:tc>
                <w:tcPr>
                  <w:tcW w:type="dxa" w:w="1498"/>
                  <w:tcBorders/>
                  <w:shd w:fill="1a365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11099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09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" w:right="4896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F172A"/>
                <w:sz w:val="42"/>
              </w:rPr>
              <w:t xml:space="preserve">Ateet Bahamani 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D7377"/>
                <w:sz w:val="23"/>
              </w:rPr>
              <w:t>AI Architect / Agentic AI Engineer</w:t>
            </w:r>
          </w:p>
          <w:p>
            <w:pPr>
              <w:autoSpaceDN w:val="0"/>
              <w:autoSpaceDE w:val="0"/>
              <w:widowControl/>
              <w:spacing w:line="240" w:lineRule="auto" w:before="70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475569"/>
                <w:sz w:val="18"/>
              </w:rPr>
              <w:t>Essen, Germany+49 176 2346 3484ab@masxai.com</w:t>
            </w:r>
            <w:r>
              <w:rPr>
                <w:rFonts w:ascii="Segoe UI" w:hAnsi="Segoe UI" w:eastAsia="Segoe UI"/>
                <w:b/>
                <w:i w:val="0"/>
                <w:color w:val="475569"/>
                <w:sz w:val="18"/>
              </w:rPr>
              <w:t>Portfolio: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t xml:space="preserve"> 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hyperlink r:id="rId10" w:history="1">
                <w:r>
                  <w:rPr>
                    <w:rStyle w:val="Hyperlink"/>
                  </w:rPr>
                  <w:t>ateet.masxai.com</w:t>
                </w:r>
              </w:hyperlink>
            </w:r>
          </w:p>
          <w:p>
            <w:pPr>
              <w:autoSpaceDN w:val="0"/>
              <w:autoSpaceDE w:val="0"/>
              <w:widowControl/>
              <w:spacing w:line="238" w:lineRule="auto" w:before="10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475569"/>
                <w:sz w:val="18"/>
              </w:rPr>
              <w:t>GitHub: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t xml:space="preserve"> 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hyperlink r:id="rId11" w:history="1">
                <w:r>
                  <w:rPr>
                    <w:rStyle w:val="Hyperlink"/>
                  </w:rPr>
                  <w:t>github.com/AteetVatan</w:t>
                </w:r>
              </w:hyperlink>
            </w:r>
            <w:r>
              <w:rPr>
                <w:rFonts w:ascii="Segoe UI" w:hAnsi="Segoe UI" w:eastAsia="Segoe UI"/>
                <w:b/>
                <w:i w:val="0"/>
                <w:color w:val="475569"/>
                <w:sz w:val="18"/>
              </w:rPr>
              <w:t>LinkedIn: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t xml:space="preserve"> </w:t>
            </w:r>
            <w:r>
              <w:rPr>
                <w:rFonts w:ascii="Segoe UI" w:hAnsi="Segoe UI" w:eastAsia="Segoe UI"/>
                <w:b w:val="0"/>
                <w:i w:val="0"/>
                <w:color w:val="0D7377"/>
                <w:sz w:val="18"/>
              </w:rPr>
              <w:hyperlink r:id="rId12" w:history="1">
                <w:r>
                  <w:rPr>
                    <w:rStyle w:val="Hyperlink"/>
                  </w:rPr>
                  <w:t>linkedin.com/in/ateet-vatan-bahmani</w:t>
                </w:r>
              </w:hyperlink>
            </w:r>
          </w:p>
        </w:tc>
      </w:tr>
      <w:tr>
        <w:trPr>
          <w:trHeight w:hRule="exact" w:val="584"/>
        </w:trPr>
        <w:tc>
          <w:tcPr>
            <w:tcW w:type="dxa" w:w="1558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53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32"/>
            </w:tblGrid>
            <w:tr>
              <w:trPr>
                <w:trHeight w:hRule="exact" w:val="282"/>
              </w:trPr>
              <w:tc>
                <w:tcPr>
                  <w:tcW w:type="dxa" w:w="4472"/>
                  <w:tcBorders/>
                  <w:shd w:fill="1a365d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4472"/>
                  </w:tblGrid>
                  <w:tr>
                    <w:trPr>
                      <w:trHeight w:hRule="exact" w:val="282"/>
                    </w:trPr>
                    <w:tc>
                      <w:tcPr>
                        <w:tcW w:type="dxa" w:w="4472"/>
                        <w:tcBorders/>
                        <w:shd w:fill="effdf4"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0.0" w:type="dxa"/>
                        </w:tblPr>
                        <w:tblGrid>
                          <w:gridCol w:w="4472"/>
                        </w:tblGrid>
                        <w:tr>
                          <w:trPr>
                            <w:trHeight w:hRule="exact" w:val="282"/>
                          </w:trPr>
                          <w:tc>
                            <w:tcPr>
                              <w:tcW w:type="dxa" w:w="4472"/>
                              <w:tcBorders/>
                              <w:shd w:fill="85efac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40" w:lineRule="auto" w:before="4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2.49999761581421"/>
                                  <w:rFonts w:ascii="Segoe UI Semibold" w:hAnsi="Segoe UI Semibold" w:eastAsia="Segoe UI Semibold"/>
                                  <w:b/>
                                  <w:i w:val="0"/>
                                  <w:color w:val="166534"/>
                                  <w:sz w:val="16"/>
                                </w:rPr>
                                <w:t>German Citizen · EU Work Rights · Available Immediately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464"/>
        </w:trPr>
        <w:tc>
          <w:tcPr>
            <w:tcW w:type="dxa" w:w="10090"/>
            <w:tcBorders>
              <w:bottom w:sz="8.799999999999955" w:val="single" w:color="#0C727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A365D"/>
                <w:sz w:val="22"/>
              </w:rPr>
              <w:t>PROFESSIONAL SUMMARY</w:t>
            </w:r>
          </w:p>
        </w:tc>
      </w:tr>
    </w:tbl>
    <w:p>
      <w:pPr>
        <w:autoSpaceDN w:val="0"/>
        <w:autoSpaceDE w:val="0"/>
        <w:widowControl/>
        <w:spacing w:line="252" w:lineRule="auto" w:before="96" w:after="128"/>
        <w:ind w:left="0" w:right="20" w:firstLine="0"/>
        <w:jc w:val="both"/>
      </w:pPr>
      <w:r>
        <w:rPr>
          <w:w w:val="101.05263559441818"/>
          <w:rFonts w:ascii="Segoe UI" w:hAnsi="Segoe UI" w:eastAsia="Segoe UI"/>
          <w:b w:val="0"/>
          <w:i w:val="0"/>
          <w:color w:val="334155"/>
          <w:sz w:val="19"/>
        </w:rPr>
        <w:t xml:space="preserve">AI Architect / Engineer with 15+ years building enterprise platforms &amp; now specializing in deterministic, auditable </w:t>
      </w:r>
      <w:r>
        <w:rPr>
          <w:w w:val="101.05263559441818"/>
          <w:rFonts w:ascii="Segoe UI" w:hAnsi="Segoe UI" w:eastAsia="Segoe UI"/>
          <w:b w:val="0"/>
          <w:i w:val="0"/>
          <w:color w:val="334155"/>
          <w:sz w:val="19"/>
        </w:rPr>
        <w:t xml:space="preserve">Agentic AI systems. I lead cross-team architecture &amp; technical strategy while staying deeply hands-on, modernizing </w:t>
      </w:r>
      <w:r>
        <w:rPr>
          <w:w w:val="101.05263559441818"/>
          <w:rFonts w:ascii="Segoe UI" w:hAnsi="Segoe UI" w:eastAsia="Segoe UI"/>
          <w:b w:val="0"/>
          <w:i w:val="0"/>
          <w:color w:val="334155"/>
          <w:sz w:val="19"/>
        </w:rPr>
        <w:t xml:space="preserve">complex legacy estates &amp; building greenfield platforms for 20+ global clients, shipping production features daily. I </w:t>
      </w:r>
      <w:r>
        <w:rPr>
          <w:w w:val="101.05263559441818"/>
          <w:rFonts w:ascii="Segoe UI" w:hAnsi="Segoe UI" w:eastAsia="Segoe UI"/>
          <w:b w:val="0"/>
          <w:i w:val="0"/>
          <w:color w:val="334155"/>
          <w:sz w:val="19"/>
        </w:rPr>
        <w:t xml:space="preserve">design multi-agent orchestration, multi-model validation, &amp; modern agent interoperability patterns (MCP, A2A) that </w:t>
      </w:r>
      <w:r>
        <w:rPr>
          <w:w w:val="101.05263559441818"/>
          <w:rFonts w:ascii="Segoe UI" w:hAnsi="Segoe UI" w:eastAsia="Segoe UI"/>
          <w:b w:val="0"/>
          <w:i w:val="0"/>
          <w:color w:val="334155"/>
          <w:sz w:val="19"/>
        </w:rPr>
        <w:t>bring reliability (controls, confidence, governance) to real-world AI workflows.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0"/>
        <w:gridCol w:w="3370"/>
        <w:gridCol w:w="3370"/>
      </w:tblGrid>
      <w:tr>
        <w:trPr>
          <w:trHeight w:hRule="exact" w:val="344"/>
        </w:trPr>
        <w:tc>
          <w:tcPr>
            <w:tcW w:type="dxa" w:w="3312"/>
            <w:tcBorders>
              <w:bottom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12"/>
            </w:tblGrid>
            <w:tr>
              <w:trPr>
                <w:trHeight w:hRule="exact" w:val="336"/>
              </w:trPr>
              <w:tc>
                <w:tcPr>
                  <w:tcW w:type="dxa" w:w="2872"/>
                  <w:tcBorders/>
                  <w:shd w:fill="cad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0" w:right="0" w:firstLine="0"/>
                    <w:jc w:val="left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A365D"/>
                      <w:sz w:val="22"/>
                    </w:rPr>
                    <w:t>CORE COMPETENCIES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>
              <w:bottom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58"/>
            <w:tcBorders>
              <w:bottom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8"/>
        </w:trPr>
        <w:tc>
          <w:tcPr>
            <w:tcW w:type="dxa" w:w="3312"/>
            <w:tcBorders>
              <w:top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w w:val="97.77776930067274"/>
                <w:rFonts w:ascii="Segoe UI" w:hAnsi="Segoe UI" w:eastAsia="Segoe UI"/>
                <w:b/>
                <w:i w:val="0"/>
                <w:color w:val="1A365D"/>
                <w:sz w:val="18"/>
              </w:rPr>
              <w:t>Engineering Leadership</w:t>
            </w:r>
          </w:p>
        </w:tc>
        <w:tc>
          <w:tcPr>
            <w:tcW w:type="dxa" w:w="3420"/>
            <w:tcBorders>
              <w:top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w w:val="97.77776930067274"/>
                <w:rFonts w:ascii="Segoe UI" w:hAnsi="Segoe UI" w:eastAsia="Segoe UI"/>
                <w:b/>
                <w:i w:val="0"/>
                <w:color w:val="1A365D"/>
                <w:sz w:val="18"/>
              </w:rPr>
              <w:t>System Design &amp; AI</w:t>
            </w:r>
          </w:p>
        </w:tc>
        <w:tc>
          <w:tcPr>
            <w:tcW w:type="dxa" w:w="3358"/>
            <w:tcBorders>
              <w:top w:sz="8.799999999999727" w:val="single" w:color="#0C727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w w:val="97.77776930067274"/>
                <w:rFonts w:ascii="Segoe UI" w:hAnsi="Segoe UI" w:eastAsia="Segoe UI"/>
                <w:b/>
                <w:i w:val="0"/>
                <w:color w:val="1A365D"/>
                <w:sz w:val="18"/>
              </w:rPr>
              <w:t>Platform &amp; Infrastructure</w:t>
            </w:r>
          </w:p>
        </w:tc>
      </w:tr>
      <w:tr>
        <w:trPr>
          <w:trHeight w:hRule="exact" w:val="300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Technical Strategy &amp; Architecture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Microservices &amp; Event-Driven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Python · TypeScript · Node.js · C# · React</w:t>
            </w:r>
          </w:p>
        </w:tc>
      </w:tr>
      <w:tr>
        <w:trPr>
          <w:trHeight w:hRule="exact" w:val="280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Roadmaps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Architecture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FastAPI · Pydantic · Kubernetes · Docker</w:t>
            </w:r>
          </w:p>
        </w:tc>
      </w:tr>
      <w:tr>
        <w:trPr>
          <w:trHeight w:hRule="exact" w:val="274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Cross-Team / Cross-Continent Delivery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Distributed Systems &amp; Scalability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MongoDB · PostgreSQL · Redis · Kafka ·</w:t>
            </w:r>
          </w:p>
        </w:tc>
      </w:tr>
      <w:tr>
        <w:trPr>
          <w:trHeight w:hRule="exact" w:val="246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Platform Migration &amp; Modernisation at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Patterns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NATS</w:t>
            </w:r>
          </w:p>
        </w:tc>
      </w:tr>
      <w:tr>
        <w:trPr>
          <w:trHeight w:hRule="exact" w:val="280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Scale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API Design (REST, OpenAPI, WebSockets)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Azure · AWS (Lambda/ECS/S3) · CI/CD</w:t>
            </w:r>
          </w:p>
        </w:tc>
      </w:tr>
      <w:tr>
        <w:trPr>
          <w:trHeight w:hRule="exact" w:val="240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Mentoring Senior Engineers &amp; Building</w:t>
            </w:r>
          </w:p>
        </w:tc>
        <w:tc>
          <w:tcPr>
            <w:tcW w:type="dxa" w:w="3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Deterministic &amp; Agentic AI Architecture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Pipelines</w:t>
            </w:r>
          </w:p>
        </w:tc>
      </w:tr>
      <w:tr>
        <w:trPr>
          <w:trHeight w:hRule="exact" w:val="280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Teams</w:t>
            </w:r>
          </w:p>
        </w:tc>
        <w:tc>
          <w:tcPr>
            <w:tcW w:type="dxa" w:w="3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MCP, A2A &amp; Agent Interop Protocols</w:t>
            </w:r>
          </w:p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LLMOps, Evaluation Harnesses &amp;</w:t>
            </w:r>
          </w:p>
        </w:tc>
      </w:tr>
      <w:tr>
        <w:trPr>
          <w:trHeight w:hRule="exact" w:val="244"/>
        </w:trPr>
        <w:tc>
          <w:tcPr>
            <w:tcW w:type="dxa" w:w="33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Stakeholder Management &amp; Capacity</w:t>
            </w:r>
          </w:p>
        </w:tc>
        <w:tc>
          <w:tcPr>
            <w:tcW w:type="dxa" w:w="3370"/>
            <w:vMerge/>
            <w:tcBorders/>
          </w:tcPr>
          <w:p/>
        </w:tc>
        <w:tc>
          <w:tcPr>
            <w:tcW w:type="dxa" w:w="33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Observability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50"/>
        </w:trPr>
        <w:tc>
          <w:tcPr>
            <w:tcW w:type="dxa" w:w="10090"/>
            <w:tcBorders/>
            <w:shd w:fill="f8f9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350" w:right="0" w:firstLine="0"/>
              <w:jc w:val="left"/>
            </w:pPr>
            <w:r>
              <w:rPr>
                <w:w w:val="101.17647507611443"/>
                <w:rFonts w:ascii="Segoe UI" w:hAnsi="Segoe UI" w:eastAsia="Segoe UI"/>
                <w:b w:val="0"/>
                <w:i w:val="0"/>
                <w:color w:val="475569"/>
                <w:sz w:val="17"/>
              </w:rPr>
              <w:t>Planning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5"/>
        <w:gridCol w:w="5055"/>
      </w:tblGrid>
      <w:tr>
        <w:trPr>
          <w:trHeight w:hRule="exact" w:val="344"/>
        </w:trPr>
        <w:tc>
          <w:tcPr>
            <w:tcW w:type="dxa" w:w="7032"/>
            <w:tcBorders>
              <w:bottom w:sz="8.800000000000182" w:val="single" w:color="#0C7277"/>
            </w:tcBorders>
            <w:shd w:fill="cad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A365D"/>
                <w:sz w:val="22"/>
              </w:rPr>
              <w:t>PROFESSIONAL EXPERIENCE</w:t>
            </w:r>
          </w:p>
        </w:tc>
        <w:tc>
          <w:tcPr>
            <w:tcW w:type="dxa" w:w="3058"/>
            <w:tcBorders>
              <w:bottom w:sz="8.800000000000182" w:val="single" w:color="#0C7277"/>
            </w:tcBorders>
            <w:shd w:fill="cad4e1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7032"/>
            <w:tcBorders>
              <w:top w:sz="8.800000000000182" w:val="single" w:color="#0C727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F172A"/>
                <w:sz w:val="20"/>
              </w:rPr>
              <w:t>Principal AI Architect / Product Engineer</w:t>
            </w:r>
            <w:r>
              <w:rPr>
                <w:w w:val="97.89472881116366"/>
                <w:rFonts w:ascii="Segoe UI" w:hAnsi="Segoe UI" w:eastAsia="Segoe UI"/>
                <w:b w:val="0"/>
                <w:i w:val="0"/>
                <w:color w:val="CBD5E1"/>
                <w:sz w:val="19"/>
              </w:rPr>
              <w:t xml:space="preserve">| </w:t>
            </w:r>
            <w:r>
              <w:rPr>
                <w:w w:val="97.89472881116366"/>
                <w:rFonts w:ascii="Segoe UI" w:hAnsi="Segoe UI" w:eastAsia="Segoe UI"/>
                <w:b w:val="0"/>
                <w:i w:val="0"/>
                <w:color w:val="64748B"/>
                <w:sz w:val="19"/>
              </w:rPr>
              <w:t>MASX AI Platforms</w:t>
            </w:r>
          </w:p>
        </w:tc>
        <w:tc>
          <w:tcPr>
            <w:tcW w:type="dxa" w:w="3058"/>
            <w:tcBorders>
              <w:top w:sz="8.800000000000182" w:val="single" w:color="#0C727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4" w:after="0"/>
              <w:ind w:left="0" w:right="0" w:firstLine="0"/>
              <w:jc w:val="right"/>
            </w:pPr>
            <w:r>
              <w:rPr>
                <w:rFonts w:ascii="Segoe UI Semibold" w:hAnsi="Segoe UI Semibold" w:eastAsia="Segoe UI Semibold"/>
                <w:b/>
                <w:i w:val="0"/>
                <w:color w:val="0D7377"/>
                <w:sz w:val="18"/>
              </w:rPr>
              <w:t>Feb 2026 - Present</w:t>
            </w:r>
          </w:p>
        </w:tc>
      </w:tr>
    </w:tbl>
    <w:p>
      <w:pPr>
        <w:autoSpaceDN w:val="0"/>
        <w:autoSpaceDE w:val="0"/>
        <w:widowControl/>
        <w:spacing w:line="240" w:lineRule="auto" w:before="12" w:after="0"/>
        <w:ind w:left="0" w:right="0" w:firstLine="0"/>
        <w:jc w:val="left"/>
      </w:pPr>
      <w:r>
        <w:rPr>
          <w:w w:val="97.77776930067274"/>
          <w:rFonts w:ascii="Segoe UI" w:hAnsi="Segoe UI" w:eastAsia="Segoe UI"/>
          <w:b w:val="0"/>
          <w:i w:val="0"/>
          <w:color w:val="64748B"/>
          <w:sz w:val="18"/>
        </w:rPr>
        <w:t xml:space="preserve">MASX Strategic Intelligence: </w:t>
      </w:r>
      <w:r>
        <w:rPr>
          <w:w w:val="97.77776930067274"/>
          <w:rFonts w:ascii="Segoe UI" w:hAnsi="Segoe UI" w:eastAsia="Segoe UI"/>
          <w:b w:val="0"/>
          <w:i w:val="0"/>
          <w:color w:val="0D7377"/>
          <w:sz w:val="18"/>
        </w:rPr>
        <w:hyperlink r:id="rId13" w:history="1">
          <w:r>
            <w:rPr>
              <w:rStyle w:val="Hyperlink"/>
            </w:rPr>
            <w:t>https://forecast.masxai.com</w:t>
          </w:r>
        </w:hyperlink>
      </w:r>
      <w:r>
        <w:rPr>
          <w:w w:val="97.77776930067274"/>
          <w:rFonts w:ascii="Segoe UI" w:hAnsi="Segoe UI" w:eastAsia="Segoe UI"/>
          <w:b w:val="0"/>
          <w:i w:val="0"/>
          <w:color w:val="64748B"/>
          <w:sz w:val="18"/>
        </w:rPr>
        <w:t xml:space="preserve"> | MASX Bittensor Intelligence: </w:t>
      </w:r>
      <w:r>
        <w:rPr>
          <w:w w:val="97.77776930067274"/>
          <w:rFonts w:ascii="Segoe UI" w:hAnsi="Segoe UI" w:eastAsia="Segoe UI"/>
          <w:b w:val="0"/>
          <w:i w:val="0"/>
          <w:color w:val="0D7377"/>
          <w:sz w:val="18"/>
        </w:rPr>
        <w:hyperlink r:id="rId14" w:history="1">
          <w:r>
            <w:rPr>
              <w:rStyle w:val="Hyperlink"/>
            </w:rPr>
            <w:t>https://bt.masxai.com</w:t>
          </w:r>
        </w:hyperlink>
      </w:r>
    </w:p>
    <w:p>
      <w:pPr>
        <w:autoSpaceDN w:val="0"/>
        <w:autoSpaceDE w:val="0"/>
        <w:widowControl/>
        <w:spacing w:line="245" w:lineRule="auto" w:before="36" w:after="0"/>
        <w:ind w:left="210" w:right="288" w:hanging="11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AI agentic solution — Built &amp; launched two full-scale agentic forecasting platforms: MASX Strategic Intelligence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(forecast.masxai.com) for geopolitical forecasting &amp; MASX Bittensor Intelligence (bt.masxai.com) for decentralized AI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network intelligence.</w:t>
      </w:r>
    </w:p>
    <w:p>
      <w:pPr>
        <w:autoSpaceDN w:val="0"/>
        <w:autoSpaceDE w:val="0"/>
        <w:widowControl/>
        <w:spacing w:line="245" w:lineRule="auto" w:before="18" w:after="0"/>
        <w:ind w:left="210" w:right="288" w:hanging="11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Designed deterministic multi-agent AI workflows combining OSINT ingestion, anomaly detection, RAG-grounded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reasoning, multi-agent analysis, probabilistic forecasting, validation guardrails, autonomous resolution, &amp; calibration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feedback loops.</w:t>
      </w:r>
    </w:p>
    <w:p>
      <w:pPr>
        <w:autoSpaceDN w:val="0"/>
        <w:autoSpaceDE w:val="0"/>
        <w:widowControl/>
        <w:spacing w:line="245" w:lineRule="auto" w:before="18" w:after="0"/>
        <w:ind w:left="210" w:right="288" w:hanging="11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Architected MASX Strategic Intelligence as a doctrine-driven forecasting system using 35 strategic AI agents across 7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intelligence domains &amp; 115+ sub-domains, with live dashboards, forecast tracking, research documentation, &amp;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autonomous intelligence outputs.</w:t>
      </w:r>
    </w:p>
    <w:p>
      <w:pPr>
        <w:autoSpaceDN w:val="0"/>
        <w:tabs>
          <w:tab w:pos="210" w:val="left"/>
        </w:tabs>
        <w:autoSpaceDE w:val="0"/>
        <w:widowControl/>
        <w:spacing w:line="245" w:lineRule="auto" w:before="20" w:after="0"/>
        <w:ind w:left="100" w:right="144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Built MASX Bittensor Intelligence to monitor subnet health, miner &amp; validator dynamics, emission shifts, liquidity stress,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sentiment, GitHub activity, Discord intelligence, chain signals, &amp; generate bounded forecasts + stakeholder advisories.</w:t>
      </w: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Implemented the platforms using Python, FastAPI, Pydantic, PostgreSQL/Supabase, RAG pipelines, LLM orchestration,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scheduled jobs, deterministic validators, audit-friendly provenance, &amp; public React/Tailwind dashboards.</w:t>
      </w:r>
    </w:p>
    <w:p>
      <w:pPr>
        <w:autoSpaceDN w:val="0"/>
        <w:tabs>
          <w:tab w:pos="210" w:val="left"/>
        </w:tabs>
        <w:autoSpaceDE w:val="0"/>
        <w:widowControl/>
        <w:spacing w:line="245" w:lineRule="auto" w:before="20" w:after="0"/>
        <w:ind w:left="100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Created methodology, calibration, resolution, &amp; research-facing documentation explaining the forecasting architecture,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quality controls, scoring, autonomous resolution process, &amp; production intelligence workflow.</w:t>
      </w:r>
    </w:p>
    <w:p>
      <w:pPr>
        <w:autoSpaceDN w:val="0"/>
        <w:tabs>
          <w:tab w:pos="8416" w:val="left"/>
        </w:tabs>
        <w:autoSpaceDE w:val="0"/>
        <w:widowControl/>
        <w:spacing w:line="240" w:lineRule="auto" w:before="82" w:after="0"/>
        <w:ind w:left="0" w:right="0" w:firstLine="0"/>
        <w:jc w:val="left"/>
      </w:pPr>
      <w:r>
        <w:rPr>
          <w:rFonts w:ascii="Segoe UI" w:hAnsi="Segoe UI" w:eastAsia="Segoe UI"/>
          <w:b/>
          <w:i w:val="0"/>
          <w:color w:val="0F172A"/>
          <w:sz w:val="20"/>
        </w:rPr>
        <w:t>AI Architect — Agentic AI Systems</w:t>
      </w:r>
      <w:r>
        <w:rPr>
          <w:w w:val="97.89472881116366"/>
          <w:rFonts w:ascii="Segoe UI" w:hAnsi="Segoe UI" w:eastAsia="Segoe UI"/>
          <w:b w:val="0"/>
          <w:i w:val="0"/>
          <w:color w:val="CBD5E1"/>
          <w:sz w:val="19"/>
        </w:rPr>
        <w:t xml:space="preserve">| 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12IQ Inc., Essen, Germany </w:t>
      </w:r>
      <w:r>
        <w:tab/>
      </w:r>
      <w:r>
        <w:rPr>
          <w:rFonts w:ascii="Segoe UI Semibold" w:hAnsi="Segoe UI Semibold" w:eastAsia="Segoe UI Semibold"/>
          <w:b/>
          <w:i w:val="0"/>
          <w:color w:val="0D7377"/>
          <w:sz w:val="18"/>
        </w:rPr>
        <w:t>Nov 2025 - Jan 2026</w:t>
      </w:r>
    </w:p>
    <w:p>
      <w:pPr>
        <w:autoSpaceDN w:val="0"/>
        <w:tabs>
          <w:tab w:pos="210" w:val="left"/>
        </w:tabs>
        <w:autoSpaceDE w:val="0"/>
        <w:widowControl/>
        <w:spacing w:line="245" w:lineRule="auto" w:before="22" w:after="0"/>
        <w:ind w:left="100" w:right="432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Leading architecture &amp; end-to-end development of a large-scale Deterministic AI platform focused on predictable,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auditable, &amp; intelligent workflows.</w:t>
      </w:r>
    </w:p>
    <w:p>
      <w:pPr>
        <w:autoSpaceDN w:val="0"/>
        <w:tabs>
          <w:tab w:pos="210" w:val="left"/>
        </w:tabs>
        <w:autoSpaceDE w:val="0"/>
        <w:widowControl/>
        <w:spacing w:line="245" w:lineRule="auto" w:before="18" w:after="0"/>
        <w:ind w:left="100" w:right="1008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Architected a modular, execution-driven AI system with a single deterministic execution spine, coordinating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orchestration, context management, knowledge processing, reasoning, &amp; multi-model validation.</w:t>
      </w:r>
    </w:p>
    <w:p>
      <w:pPr>
        <w:autoSpaceDN w:val="0"/>
        <w:tabs>
          <w:tab w:pos="210" w:val="left"/>
        </w:tabs>
        <w:autoSpaceDE w:val="0"/>
        <w:widowControl/>
        <w:spacing w:line="245" w:lineRule="auto" w:before="18" w:after="0"/>
        <w:ind w:left="100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Designed agent orchestration patterns enforcing execution order, context propagation, budget control, fault isolation, &amp;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confidence scoring.</w:t>
      </w:r>
    </w:p>
    <w:p>
      <w:pPr>
        <w:autoSpaceDN w:val="0"/>
        <w:tabs>
          <w:tab w:pos="210" w:val="left"/>
        </w:tabs>
        <w:autoSpaceDE w:val="0"/>
        <w:widowControl/>
        <w:spacing w:line="247" w:lineRule="auto" w:before="20" w:after="0"/>
        <w:ind w:left="100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Implemented MCP-based tool integration &amp; A2A agent communication protocols for cross-system interoperability.</w:t>
      </w: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 xml:space="preserve">Integrated LangChain for LLM orchestration, RAG pipeline construction, &amp; tool-calling agent chains, enabling structured </w:t>
      </w:r>
      <w:r>
        <w:tab/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retrieval-augmented reasoning across multi-source knowledge bases.</w:t>
      </w:r>
    </w:p>
    <w:p>
      <w:pPr>
        <w:sectPr>
          <w:pgSz w:w="11906" w:h="16838"/>
          <w:pgMar w:top="372" w:right="888" w:bottom="34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p>
      <w:pPr>
        <w:autoSpaceDN w:val="0"/>
        <w:autoSpaceDE w:val="0"/>
        <w:widowControl/>
        <w:spacing w:line="238" w:lineRule="auto" w:before="2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Enforced security &amp; compliance standards aligned with ISO 27001 &amp; GDPR, including RBAC, secrets vaulting, audit</w:t>
      </w:r>
    </w:p>
    <w:p>
      <w:pPr>
        <w:autoSpaceDN w:val="0"/>
        <w:autoSpaceDE w:val="0"/>
        <w:widowControl/>
        <w:spacing w:line="240" w:lineRule="auto" w:before="4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logging, &amp; data isolation.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Built workflow automation pipelines using n8n for scheduling, event-driven triggers, data routing, &amp; agent orchestration.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Built multi-database AI infrastructure (relational, document, graph, vector, cache) to support persistent reasoning state</w:t>
      </w:r>
    </w:p>
    <w:p>
      <w:pPr>
        <w:autoSpaceDN w:val="0"/>
        <w:autoSpaceDE w:val="0"/>
        <w:widowControl/>
        <w:spacing w:line="240" w:lineRule="auto" w:before="4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&amp; continuous learning.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Hands-on Python lead, defining core abstractions, data contracts, &amp; CI/CD standards.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Leading technical delivery, interviewing, mentoring, &amp; guiding engineers &amp; interns.</w:t>
      </w:r>
    </w:p>
    <w:p>
      <w:pPr>
        <w:autoSpaceDN w:val="0"/>
        <w:tabs>
          <w:tab w:pos="8430" w:val="left"/>
        </w:tabs>
        <w:autoSpaceDE w:val="0"/>
        <w:widowControl/>
        <w:spacing w:line="240" w:lineRule="auto" w:before="82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0F172A"/>
          <w:sz w:val="20"/>
        </w:rPr>
        <w:t>Freelance Consulting &amp; AI Engineering</w:t>
      </w:r>
      <w:r>
        <w:rPr>
          <w:w w:val="97.89472881116366"/>
          <w:rFonts w:ascii="Segoe UI" w:hAnsi="Segoe UI" w:eastAsia="Segoe UI"/>
          <w:b w:val="0"/>
          <w:i w:val="0"/>
          <w:color w:val="CBD5E1"/>
          <w:sz w:val="19"/>
        </w:rPr>
        <w:t xml:space="preserve">| 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Independent, Essen, Germany </w:t>
      </w:r>
      <w:r>
        <w:tab/>
      </w:r>
      <w:r>
        <w:rPr>
          <w:rFonts w:ascii="Segoe UI Semibold" w:hAnsi="Segoe UI Semibold" w:eastAsia="Segoe UI Semibold"/>
          <w:b/>
          <w:i w:val="0"/>
          <w:color w:val="0D7377"/>
          <w:sz w:val="18"/>
        </w:rPr>
        <w:t>Dec 2024 - Oct 2025</w:t>
      </w:r>
    </w:p>
    <w:p>
      <w:pPr>
        <w:autoSpaceDN w:val="0"/>
        <w:autoSpaceDE w:val="0"/>
        <w:widowControl/>
        <w:spacing w:line="238" w:lineRule="auto" w:before="22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Transitioned into AI Engineering through Masterschool Institute of Technology, Berlin, followed with independent</w:t>
      </w:r>
    </w:p>
    <w:p>
      <w:pPr>
        <w:autoSpaceDN w:val="0"/>
        <w:autoSpaceDE w:val="0"/>
        <w:widowControl/>
        <w:spacing w:line="240" w:lineRule="auto" w:before="4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freelance-style project execution.</w:t>
      </w:r>
    </w:p>
    <w:p>
      <w:pPr>
        <w:autoSpaceDN w:val="0"/>
        <w:autoSpaceDE w:val="0"/>
        <w:widowControl/>
        <w:spacing w:line="240" w:lineRule="auto" w:before="18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Engineered three AI platforms (mainly Python): Med AI (Healthcare Automation), MASX AI (Geopolitical Forecasting), &amp;</w:t>
      </w:r>
    </w:p>
    <w:p>
      <w:pPr>
        <w:autoSpaceDN w:val="0"/>
        <w:autoSpaceDE w:val="0"/>
        <w:widowControl/>
        <w:spacing w:line="238" w:lineRule="auto" w:before="4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Echo AI (Personal AI Clone).</w:t>
      </w:r>
    </w:p>
    <w:p>
      <w:pPr>
        <w:autoSpaceDN w:val="0"/>
        <w:autoSpaceDE w:val="0"/>
        <w:widowControl/>
        <w:spacing w:line="238" w:lineRule="auto" w:before="20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Delivered functional AI prototypes showcasing expertise in multi-agent systems, real-time data pipelines, RAG</w:t>
      </w:r>
    </w:p>
    <w:p>
      <w:pPr>
        <w:autoSpaceDN w:val="0"/>
        <w:autoSpaceDE w:val="0"/>
        <w:widowControl/>
        <w:spacing w:line="240" w:lineRule="auto" w:before="4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architectures, &amp; LLM integrations.</w:t>
      </w:r>
    </w:p>
    <w:p>
      <w:pPr>
        <w:autoSpaceDN w:val="0"/>
        <w:tabs>
          <w:tab w:pos="8496" w:val="left"/>
        </w:tabs>
        <w:autoSpaceDE w:val="0"/>
        <w:widowControl/>
        <w:spacing w:line="240" w:lineRule="auto" w:before="82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0F172A"/>
          <w:sz w:val="20"/>
        </w:rPr>
        <w:t>Senior Software Engineer</w:t>
      </w:r>
      <w:r>
        <w:rPr>
          <w:w w:val="97.89472881116366"/>
          <w:rFonts w:ascii="Segoe UI" w:hAnsi="Segoe UI" w:eastAsia="Segoe UI"/>
          <w:b w:val="0"/>
          <w:i w:val="0"/>
          <w:color w:val="CBD5E1"/>
          <w:sz w:val="19"/>
        </w:rPr>
        <w:t xml:space="preserve">| 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IHS Markit (now S&amp;P Global), Essen, Germany </w:t>
      </w:r>
      <w:r>
        <w:tab/>
      </w:r>
      <w:r>
        <w:rPr>
          <w:rFonts w:ascii="Segoe UI Semibold" w:hAnsi="Segoe UI Semibold" w:eastAsia="Segoe UI Semibold"/>
          <w:b/>
          <w:i w:val="0"/>
          <w:color w:val="0D7377"/>
          <w:sz w:val="18"/>
        </w:rPr>
        <w:t>Jul 2017 - Nov 2024</w:t>
      </w:r>
    </w:p>
    <w:p>
      <w:pPr>
        <w:autoSpaceDN w:val="0"/>
        <w:autoSpaceDE w:val="0"/>
        <w:widowControl/>
        <w:spacing w:line="240" w:lineRule="auto" w:before="22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Owned platform migration &amp; project delivery across backend/frontend, leading team of 5+. Aligned with global</w:t>
      </w:r>
    </w:p>
    <w:p>
      <w:pPr>
        <w:autoSpaceDN w:val="0"/>
        <w:autoSpaceDE w:val="0"/>
        <w:widowControl/>
        <w:spacing w:line="240" w:lineRule="auto" w:before="2" w:after="0"/>
        <w:ind w:left="218" w:right="0" w:firstLine="0"/>
        <w:jc w:val="left"/>
      </w:pP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stakeholders across 3 continents.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Engineered secure, async-ready APIs &amp; dashboards using Python, C#, Node.js, &amp; AWS (Lambda, ECS).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Migrated 10+ legacy applications to AWS / Angular, reducing latency 40% &amp; accelerating deployment cycles - 60%.</w:t>
      </w:r>
    </w:p>
    <w:p>
      <w:pPr>
        <w:autoSpaceDN w:val="0"/>
        <w:autoSpaceDE w:val="0"/>
        <w:widowControl/>
        <w:spacing w:line="238" w:lineRule="auto" w:before="20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Built CI/CD pipelines using GitLab, Docker, &amp; Azure DevOps, cutting deployment errors by over 60%.</w:t>
      </w:r>
    </w:p>
    <w:p>
      <w:pPr>
        <w:autoSpaceDN w:val="0"/>
        <w:tabs>
          <w:tab w:pos="8536" w:val="left"/>
        </w:tabs>
        <w:autoSpaceDE w:val="0"/>
        <w:widowControl/>
        <w:spacing w:line="240" w:lineRule="auto" w:before="82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0F172A"/>
          <w:sz w:val="20"/>
        </w:rPr>
        <w:t>Software Engineer</w:t>
      </w:r>
      <w:r>
        <w:rPr>
          <w:w w:val="97.89472881116366"/>
          <w:rFonts w:ascii="Segoe UI" w:hAnsi="Segoe UI" w:eastAsia="Segoe UI"/>
          <w:b w:val="0"/>
          <w:i w:val="0"/>
          <w:color w:val="CBD5E1"/>
          <w:sz w:val="19"/>
        </w:rPr>
        <w:t xml:space="preserve">| 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IHS Markit, Essen/Leverkusen, Germany </w:t>
      </w:r>
      <w:r>
        <w:tab/>
      </w:r>
      <w:r>
        <w:rPr>
          <w:rFonts w:ascii="Segoe UI Semibold" w:hAnsi="Segoe UI Semibold" w:eastAsia="Segoe UI Semibold"/>
          <w:b/>
          <w:i w:val="0"/>
          <w:color w:val="0D7377"/>
          <w:sz w:val="18"/>
        </w:rPr>
        <w:t>Mar 2012 - Jul 2017</w:t>
      </w:r>
    </w:p>
    <w:p>
      <w:pPr>
        <w:autoSpaceDN w:val="0"/>
        <w:autoSpaceDE w:val="0"/>
        <w:widowControl/>
        <w:spacing w:line="240" w:lineRule="auto" w:before="22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Delivered digital analytics systems for enterprise automotive clients across 7 continents.</w:t>
      </w:r>
    </w:p>
    <w:p>
      <w:pPr>
        <w:autoSpaceDN w:val="0"/>
        <w:autoSpaceDE w:val="0"/>
        <w:widowControl/>
        <w:spacing w:line="240" w:lineRule="auto" w:before="18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Developed scalable analytics platforms using C#, VB.NET, serving 20+ global clients.</w:t>
      </w:r>
    </w:p>
    <w:p>
      <w:pPr>
        <w:autoSpaceDN w:val="0"/>
        <w:tabs>
          <w:tab w:pos="8424" w:val="left"/>
        </w:tabs>
        <w:autoSpaceDE w:val="0"/>
        <w:widowControl/>
        <w:spacing w:line="240" w:lineRule="auto" w:before="82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0F172A"/>
          <w:sz w:val="20"/>
        </w:rPr>
        <w:t>Software Engineer</w:t>
      </w:r>
      <w:r>
        <w:rPr>
          <w:w w:val="97.89472881116366"/>
          <w:rFonts w:ascii="Segoe UI" w:hAnsi="Segoe UI" w:eastAsia="Segoe UI"/>
          <w:b w:val="0"/>
          <w:i w:val="0"/>
          <w:color w:val="CBD5E1"/>
          <w:sz w:val="19"/>
        </w:rPr>
        <w:t xml:space="preserve">| 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Pitney Bowes Software, Noida, India </w:t>
      </w:r>
      <w:r>
        <w:tab/>
      </w:r>
      <w:r>
        <w:rPr>
          <w:rFonts w:ascii="Segoe UI Semibold" w:hAnsi="Segoe UI Semibold" w:eastAsia="Segoe UI Semibold"/>
          <w:b/>
          <w:i w:val="0"/>
          <w:color w:val="0D7377"/>
          <w:sz w:val="18"/>
        </w:rPr>
        <w:t>Nov 2009 - Feb 2012</w:t>
      </w:r>
    </w:p>
    <w:p>
      <w:pPr>
        <w:autoSpaceDN w:val="0"/>
        <w:autoSpaceDE w:val="0"/>
        <w:widowControl/>
        <w:spacing w:line="238" w:lineRule="auto" w:before="22" w:after="0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Developed reusable geospatial components for MapInfo MapXtreme GIS SDK used by enterprise clients worldwide.</w:t>
      </w:r>
    </w:p>
    <w:p>
      <w:pPr>
        <w:autoSpaceDN w:val="0"/>
        <w:autoSpaceDE w:val="0"/>
        <w:widowControl/>
        <w:spacing w:line="238" w:lineRule="auto" w:before="20" w:after="124"/>
        <w:ind w:left="108" w:right="0" w:firstLine="0"/>
        <w:jc w:val="left"/>
      </w:pPr>
      <w:r>
        <w:rPr>
          <w:rFonts w:ascii="Segoe UI" w:hAnsi="Segoe UI" w:eastAsia="Segoe UI"/>
          <w:b w:val="0"/>
          <w:i w:val="0"/>
          <w:color w:val="0D7377"/>
          <w:sz w:val="16"/>
        </w:rPr>
        <w:t xml:space="preserve">• </w:t>
      </w:r>
      <w:r>
        <w:rPr>
          <w:w w:val="97.89472881116366"/>
          <w:rFonts w:ascii="Segoe UI" w:hAnsi="Segoe UI" w:eastAsia="Segoe UI"/>
          <w:b w:val="0"/>
          <w:i w:val="0"/>
          <w:color w:val="334155"/>
          <w:sz w:val="19"/>
        </w:rPr>
        <w:t>Built &amp; maintained a high-volume automated testing framework, reducing regression test cycles by 50%.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126"/>
      </w:tblGrid>
      <w:tr>
        <w:trPr>
          <w:trHeight w:hRule="exact" w:val="344"/>
        </w:trPr>
        <w:tc>
          <w:tcPr>
            <w:tcW w:type="dxa" w:w="10090"/>
            <w:tcBorders>
              <w:bottom w:sz="8.800000000000182" w:val="single" w:color="#0C7277"/>
            </w:tcBorders>
            <w:shd w:fill="cad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A365D"/>
                <w:sz w:val="22"/>
              </w:rPr>
              <w:t>KEY AI PROJECTS</w:t>
            </w:r>
          </w:p>
        </w:tc>
      </w:tr>
    </w:tbl>
    <w:p>
      <w:pPr>
        <w:autoSpaceDN w:val="0"/>
        <w:autoSpaceDE w:val="0"/>
        <w:widowControl/>
        <w:spacing w:line="242" w:lineRule="auto" w:before="90" w:after="0"/>
        <w:ind w:left="8" w:right="0" w:firstLine="0"/>
        <w:jc w:val="left"/>
      </w:pPr>
      <w:r>
        <w:rPr>
          <w:w w:val="98.00000190734863"/>
          <w:rFonts w:ascii="Segoe UI" w:hAnsi="Segoe UI" w:eastAsia="Segoe UI"/>
          <w:b/>
          <w:i w:val="0"/>
          <w:color w:val="0F172A"/>
          <w:sz w:val="20"/>
        </w:rPr>
        <w:t xml:space="preserve">Galileo Arena: LLM Benchmarking + Quality Controls — AI Agentic Solution </w:t>
      </w:r>
      <w:r>
        <w:rPr>
          <w:w w:val="97.77776930067274"/>
          <w:rFonts w:ascii="Segoe UI" w:hAnsi="Segoe UI" w:eastAsia="Segoe UI"/>
          <w:b w:val="0"/>
          <w:i w:val="0"/>
          <w:color w:val="0D7377"/>
          <w:sz w:val="18"/>
        </w:rPr>
        <w:hyperlink r:id="rId15" w:history="1">
          <w:r>
            <w:rPr>
              <w:rStyle w:val="Hyperlink"/>
            </w:rPr>
            <w:t>https://galileo.masxai.com/</w:t>
          </w:r>
        </w:hyperlink>
      </w:r>
    </w:p>
    <w:p>
      <w:pPr>
        <w:autoSpaceDN w:val="0"/>
        <w:autoSpaceDE w:val="0"/>
        <w:widowControl/>
        <w:spacing w:line="240" w:lineRule="auto" w:before="6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475569"/>
          <w:sz w:val="18"/>
        </w:rPr>
        <w:t>Multi-model evaluation platform with hybrid scoring engine (deterministic + ML), automated content generation, human-in-</w:t>
      </w:r>
    </w:p>
    <w:p>
      <w:pPr>
        <w:autoSpaceDN w:val="0"/>
        <w:autoSpaceDE w:val="0"/>
        <w:widowControl/>
        <w:spacing w:line="238" w:lineRule="auto" w:before="4" w:after="0"/>
        <w:ind w:left="0" w:right="0" w:firstLine="0"/>
        <w:jc w:val="center"/>
      </w:pPr>
      <w:r>
        <w:rPr>
          <w:rFonts w:ascii="Segoe UI" w:hAnsi="Segoe UI" w:eastAsia="Segoe UI"/>
          <w:b w:val="0"/>
          <w:i w:val="0"/>
          <w:color w:val="475569"/>
          <w:sz w:val="18"/>
        </w:rPr>
        <w:t>the-loop approval via Telegram, &amp; social media distribution. Dynamic model registry, 10+ analytics visualizations, Dockerized</w:t>
      </w:r>
    </w:p>
    <w:p>
      <w:pPr>
        <w:autoSpaceDN w:val="0"/>
        <w:autoSpaceDE w:val="0"/>
        <w:widowControl/>
        <w:spacing w:line="240" w:lineRule="auto" w:before="4" w:after="0"/>
        <w:ind w:left="128" w:right="0" w:firstLine="0"/>
        <w:jc w:val="left"/>
      </w:pPr>
      <w:r>
        <w:rPr>
          <w:rFonts w:ascii="Segoe UI" w:hAnsi="Segoe UI" w:eastAsia="Segoe UI"/>
          <w:b w:val="0"/>
          <w:i w:val="0"/>
          <w:color w:val="475569"/>
          <w:sz w:val="18"/>
        </w:rPr>
        <w:t>deployment.</w:t>
      </w:r>
    </w:p>
    <w:p>
      <w:pPr>
        <w:autoSpaceDN w:val="0"/>
        <w:autoSpaceDE w:val="0"/>
        <w:widowControl/>
        <w:spacing w:line="240" w:lineRule="auto" w:before="6" w:after="0"/>
        <w:ind w:left="128" w:right="0" w:firstLine="0"/>
        <w:jc w:val="left"/>
      </w:pPr>
      <w:r>
        <w:rPr>
          <w:w w:val="102.49999761581421"/>
          <w:rFonts w:ascii="Segoe UI" w:hAnsi="Segoe UI" w:eastAsia="Segoe UI"/>
          <w:b w:val="0"/>
          <w:i w:val="0"/>
          <w:color w:val="94A3B8"/>
          <w:sz w:val="16"/>
        </w:rPr>
        <w:t>Repo: github.com/AteetVatan/AIGalileoArena</w:t>
      </w:r>
    </w:p>
    <w:p>
      <w:pPr>
        <w:autoSpaceDN w:val="0"/>
        <w:autoSpaceDE w:val="0"/>
        <w:widowControl/>
        <w:spacing w:line="242" w:lineRule="auto" w:before="68" w:after="0"/>
        <w:ind w:left="8" w:right="0" w:firstLine="0"/>
        <w:jc w:val="left"/>
      </w:pPr>
      <w:r>
        <w:rPr>
          <w:w w:val="98.00000190734863"/>
          <w:rFonts w:ascii="Segoe UI" w:hAnsi="Segoe UI" w:eastAsia="Segoe UI"/>
          <w:b/>
          <w:i w:val="0"/>
          <w:color w:val="0F172A"/>
          <w:sz w:val="20"/>
        </w:rPr>
        <w:t xml:space="preserve">EchoAI: Real-Time Voice-Driven Agentic Intelligence </w:t>
      </w:r>
      <w:r>
        <w:rPr>
          <w:w w:val="97.77776930067274"/>
          <w:rFonts w:ascii="Segoe UI" w:hAnsi="Segoe UI" w:eastAsia="Segoe UI"/>
          <w:b w:val="0"/>
          <w:i w:val="0"/>
          <w:color w:val="0D7377"/>
          <w:sz w:val="18"/>
        </w:rPr>
        <w:hyperlink r:id="rId16" w:history="1">
          <w:r>
            <w:rPr>
              <w:rStyle w:val="Hyperlink"/>
            </w:rPr>
            <w:t>https://ateetclone.masxai.com/</w:t>
          </w:r>
        </w:hyperlink>
      </w:r>
    </w:p>
    <w:p>
      <w:pPr>
        <w:autoSpaceDN w:val="0"/>
        <w:autoSpaceDE w:val="0"/>
        <w:widowControl/>
        <w:spacing w:line="240" w:lineRule="auto" w:before="6" w:after="0"/>
        <w:ind w:left="128" w:right="0" w:firstLine="0"/>
        <w:jc w:val="left"/>
      </w:pPr>
      <w:r>
        <w:rPr>
          <w:rFonts w:ascii="Segoe UI" w:hAnsi="Segoe UI" w:eastAsia="Segoe UI"/>
          <w:b w:val="0"/>
          <w:i w:val="0"/>
          <w:color w:val="475569"/>
          <w:sz w:val="18"/>
        </w:rPr>
        <w:t>Voice-first AI clone with real-time STT to RAG memory retrieval to LLM reasoning to TTS. Built with LangChain orchestration</w:t>
      </w:r>
    </w:p>
    <w:p>
      <w:pPr>
        <w:autoSpaceDN w:val="0"/>
        <w:autoSpaceDE w:val="0"/>
        <w:widowControl/>
        <w:spacing w:line="238" w:lineRule="auto" w:before="4" w:after="0"/>
        <w:ind w:left="128" w:right="0" w:firstLine="0"/>
        <w:jc w:val="left"/>
      </w:pPr>
      <w:r>
        <w:rPr>
          <w:rFonts w:ascii="Segoe UI" w:hAnsi="Segoe UI" w:eastAsia="Segoe UI"/>
          <w:b w:val="0"/>
          <w:i w:val="0"/>
          <w:color w:val="475569"/>
          <w:sz w:val="18"/>
        </w:rPr>
        <w:t>(chains, retrieval, agents) &amp; LangGraph stateful multi-step workflows for conversational memory, RAG pipeline routing, &amp;</w:t>
      </w:r>
    </w:p>
    <w:p>
      <w:pPr>
        <w:autoSpaceDN w:val="0"/>
        <w:autoSpaceDE w:val="0"/>
        <w:widowControl/>
        <w:spacing w:line="240" w:lineRule="auto" w:before="4" w:after="0"/>
        <w:ind w:left="128" w:right="0" w:firstLine="0"/>
        <w:jc w:val="left"/>
      </w:pPr>
      <w:r>
        <w:rPr>
          <w:rFonts w:ascii="Segoe UI" w:hAnsi="Segoe UI" w:eastAsia="Segoe UI"/>
          <w:b w:val="0"/>
          <w:i w:val="0"/>
          <w:color w:val="475569"/>
          <w:sz w:val="18"/>
        </w:rPr>
        <w:t>agentic decision loops.</w:t>
      </w:r>
    </w:p>
    <w:p>
      <w:pPr>
        <w:autoSpaceDN w:val="0"/>
        <w:autoSpaceDE w:val="0"/>
        <w:widowControl/>
        <w:spacing w:line="240" w:lineRule="auto" w:before="6" w:after="124"/>
        <w:ind w:left="128" w:right="0" w:firstLine="0"/>
        <w:jc w:val="left"/>
      </w:pPr>
      <w:r>
        <w:rPr>
          <w:w w:val="102.49999761581421"/>
          <w:rFonts w:ascii="Segoe UI" w:hAnsi="Segoe UI" w:eastAsia="Segoe UI"/>
          <w:b w:val="0"/>
          <w:i w:val="0"/>
          <w:color w:val="94A3B8"/>
          <w:sz w:val="16"/>
        </w:rPr>
        <w:t>Repo: github.com/AteetVatan/echo-ai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126"/>
      </w:tblGrid>
      <w:tr>
        <w:trPr>
          <w:trHeight w:hRule="exact" w:val="346"/>
        </w:trPr>
        <w:tc>
          <w:tcPr>
            <w:tcW w:type="dxa" w:w="10090"/>
            <w:tcBorders>
              <w:bottom w:sz="8.799999999999272" w:val="single" w:color="#0C727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A365D"/>
                <w:sz w:val="22"/>
              </w:rPr>
              <w:t>TECHNICAL SKILLS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126"/>
      </w:tblGrid>
      <w:tr>
        <w:trPr>
          <w:trHeight w:hRule="exact" w:val="2984"/>
        </w:trPr>
        <w:tc>
          <w:tcPr>
            <w:tcW w:type="dxa" w:w="10090"/>
            <w:tcBorders>
              <w:bottom w:sz="8.800000000000182" w:val="single" w:color="#0C7277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5045"/>
              <w:gridCol w:w="5045"/>
            </w:tblGrid>
            <w:tr>
              <w:trPr>
                <w:trHeight w:hRule="exact" w:val="304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8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Languages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8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Python 3.10+, TypeScript, JavaScript, C#, SQL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AI &amp; Agentic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LangChain, LangGraph, AutoGen, CrewAI, MCP, A2A, n8n, RAG, PyTorch, Prompt Engineering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Backend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FastAPI, Pydantic v2, Node.js, REST/OpenAPI, WebSockets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Databases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MongoDB, PostgreSQL, Redis, Vector DBs (Chroma, FAISS, Pinecone), SQL Server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0" w:firstLine="0"/>
                    <w:jc w:val="center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Cloud &amp; DevOps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Azure, AWS (Lambda/ECS/S3), Kubernetes, Docker, GitHub Actions, GitLab CI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Security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ISO 27001, GDPR, Data Isolation, RBAC, Secrets Management, Audit Logging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center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Event Streaming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Kafka, NATS, Airflow, Redis Pub/Sub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564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shd w:fill="f8f9f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88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/>
                      <w:i w:val="0"/>
                      <w:color w:val="1A365D"/>
                      <w:sz w:val="18"/>
                    </w:rPr>
                    <w:t>LLMOps</w:t>
                  </w:r>
                </w:p>
              </w:tc>
              <w:tc>
                <w:tcPr>
                  <w:tcW w:type="dxa" w:w="8512"/>
                  <w:tcBorders>
                    <w:start w:sz="6.0" w:val="single" w:color="#E2E8EF"/>
                    <w:top w:sz="6.0" w:val="single" w:color="#E2E8EF"/>
                    <w:end w:sz="6.0" w:val="single" w:color="#E2E8EF"/>
                    <w:bottom w:sz="6.0" w:val="single" w:color="#E2E8E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90" w:right="0" w:firstLine="0"/>
                    <w:jc w:val="left"/>
                  </w:pPr>
                  <w:r>
                    <w:rPr>
                      <w:w w:val="97.77776930067274"/>
                      <w:rFonts w:ascii="Segoe UI" w:hAnsi="Segoe UI" w:eastAsia="Segoe UI"/>
                      <w:b w:val="0"/>
                      <w:i w:val="0"/>
                      <w:color w:val="475569"/>
                      <w:sz w:val="18"/>
                    </w:rPr>
                    <w:t>LangSmith, TruLens, RAGAS, Cost Tracking, Prompt Versioning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1A365D"/>
                <w:sz w:val="22"/>
              </w:rPr>
              <w:t>EDUCATION &amp; CERTIFICATIONS</w:t>
            </w:r>
          </w:p>
        </w:tc>
      </w:tr>
    </w:tbl>
    <w:p>
      <w:pPr>
        <w:autoSpaceDN w:val="0"/>
        <w:autoSpaceDE w:val="0"/>
        <w:widowControl/>
        <w:spacing w:line="240" w:lineRule="auto" w:before="92" w:after="0"/>
        <w:ind w:left="8" w:right="0" w:firstLine="0"/>
        <w:jc w:val="left"/>
      </w:pPr>
      <w:r>
        <w:rPr>
          <w:w w:val="97.89472881116366"/>
          <w:rFonts w:ascii="Segoe UI" w:hAnsi="Segoe UI" w:eastAsia="Segoe UI"/>
          <w:b/>
          <w:i w:val="0"/>
          <w:color w:val="0F172A"/>
          <w:sz w:val="19"/>
        </w:rPr>
        <w:t>AI Engineering Specialization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 -- Masterschool Institute of Technology</w:t>
      </w:r>
      <w:r>
        <w:rPr>
          <w:w w:val="97.77776930067274"/>
          <w:rFonts w:ascii="Segoe UI" w:hAnsi="Segoe UI" w:eastAsia="Segoe UI"/>
          <w:b w:val="0"/>
          <w:i w:val="0"/>
          <w:color w:val="94A3B8"/>
          <w:sz w:val="18"/>
        </w:rPr>
        <w:t xml:space="preserve"> (2025)</w:t>
      </w:r>
    </w:p>
    <w:p>
      <w:pPr>
        <w:autoSpaceDN w:val="0"/>
        <w:autoSpaceDE w:val="0"/>
        <w:widowControl/>
        <w:spacing w:line="238" w:lineRule="auto" w:before="24" w:after="0"/>
        <w:ind w:left="8" w:right="0" w:firstLine="0"/>
        <w:jc w:val="left"/>
      </w:pPr>
      <w:r>
        <w:rPr>
          <w:w w:val="97.89472881116366"/>
          <w:rFonts w:ascii="Segoe UI" w:hAnsi="Segoe UI" w:eastAsia="Segoe UI"/>
          <w:b/>
          <w:i w:val="0"/>
          <w:color w:val="0F172A"/>
          <w:sz w:val="19"/>
        </w:rPr>
        <w:t>M.Sc. Geographic Information Systems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 -- Symbiosis International University</w:t>
      </w:r>
      <w:r>
        <w:rPr>
          <w:w w:val="97.77776930067274"/>
          <w:rFonts w:ascii="Segoe UI" w:hAnsi="Segoe UI" w:eastAsia="Segoe UI"/>
          <w:b w:val="0"/>
          <w:i w:val="0"/>
          <w:color w:val="94A3B8"/>
          <w:sz w:val="18"/>
        </w:rPr>
        <w:t xml:space="preserve"> (2007-2009)</w:t>
      </w:r>
    </w:p>
    <w:p>
      <w:pPr>
        <w:autoSpaceDN w:val="0"/>
        <w:autoSpaceDE w:val="0"/>
        <w:widowControl/>
        <w:spacing w:line="238" w:lineRule="auto" w:before="26" w:after="0"/>
        <w:ind w:left="8" w:right="0" w:firstLine="0"/>
        <w:jc w:val="left"/>
      </w:pPr>
      <w:r>
        <w:rPr>
          <w:w w:val="97.89472881116366"/>
          <w:rFonts w:ascii="Segoe UI" w:hAnsi="Segoe UI" w:eastAsia="Segoe UI"/>
          <w:b/>
          <w:i w:val="0"/>
          <w:color w:val="0F172A"/>
          <w:sz w:val="19"/>
        </w:rPr>
        <w:t>B.Tech. Information Technology</w:t>
      </w:r>
      <w:r>
        <w:rPr>
          <w:w w:val="97.89472881116366"/>
          <w:rFonts w:ascii="Segoe UI" w:hAnsi="Segoe UI" w:eastAsia="Segoe UI"/>
          <w:b w:val="0"/>
          <w:i w:val="0"/>
          <w:color w:val="64748B"/>
          <w:sz w:val="19"/>
        </w:rPr>
        <w:t xml:space="preserve"> -- GGSIPU, New Delhi</w:t>
      </w:r>
      <w:r>
        <w:rPr>
          <w:w w:val="97.77776930067274"/>
          <w:rFonts w:ascii="Segoe UI" w:hAnsi="Segoe UI" w:eastAsia="Segoe UI"/>
          <w:b w:val="0"/>
          <w:i w:val="0"/>
          <w:color w:val="94A3B8"/>
          <w:sz w:val="18"/>
        </w:rPr>
        <w:t xml:space="preserve"> (2001-2005)</w:t>
      </w:r>
    </w:p>
    <w:p>
      <w:pPr>
        <w:autoSpaceDN w:val="0"/>
        <w:autoSpaceDE w:val="0"/>
        <w:widowControl/>
        <w:spacing w:line="240" w:lineRule="auto" w:before="54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1A365D"/>
          <w:sz w:val="18"/>
        </w:rPr>
        <w:t>Certifications:</w:t>
      </w:r>
      <w:r>
        <w:rPr>
          <w:rFonts w:ascii="Segoe UI" w:hAnsi="Segoe UI" w:eastAsia="Segoe UI"/>
          <w:b w:val="0"/>
          <w:i w:val="0"/>
          <w:color w:val="475569"/>
          <w:sz w:val="18"/>
        </w:rPr>
        <w:t xml:space="preserve"> AI Engineering (Masterschool, 2025) · PCEP Python (2025) · Certified ScrumMaster (Scrum Alliance, 2019)</w:t>
      </w:r>
    </w:p>
    <w:p>
      <w:pPr>
        <w:autoSpaceDN w:val="0"/>
        <w:autoSpaceDE w:val="0"/>
        <w:widowControl/>
        <w:spacing w:line="238" w:lineRule="auto" w:before="40" w:after="0"/>
        <w:ind w:left="8" w:right="0" w:firstLine="0"/>
        <w:jc w:val="left"/>
      </w:pPr>
      <w:r>
        <w:rPr>
          <w:rFonts w:ascii="Segoe UI" w:hAnsi="Segoe UI" w:eastAsia="Segoe UI"/>
          <w:b/>
          <w:i w:val="0"/>
          <w:color w:val="1A365D"/>
          <w:sz w:val="18"/>
        </w:rPr>
        <w:t>Languages:</w:t>
      </w:r>
      <w:r>
        <w:rPr>
          <w:rFonts w:ascii="Segoe UI" w:hAnsi="Segoe UI" w:eastAsia="Segoe UI"/>
          <w:b w:val="0"/>
          <w:i w:val="0"/>
          <w:color w:val="475569"/>
          <w:sz w:val="18"/>
        </w:rPr>
        <w:t xml:space="preserve"> English (Native) · Hindi (Native) · German (B1)</w:t>
      </w:r>
    </w:p>
    <w:sectPr w:rsidR="00FC693F" w:rsidRPr="0006063C" w:rsidSect="00034616">
      <w:pgSz w:w="11906" w:h="16838"/>
      <w:pgMar w:top="398" w:right="880" w:bottom="3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teet.masxai.com" TargetMode="External"/><Relationship Id="rId11" Type="http://schemas.openxmlformats.org/officeDocument/2006/relationships/hyperlink" Target="https://github.com/AteetVatan" TargetMode="External"/><Relationship Id="rId12" Type="http://schemas.openxmlformats.org/officeDocument/2006/relationships/hyperlink" Target="https://linkedin.com/in/ateet-vatan-bahmani" TargetMode="External"/><Relationship Id="rId13" Type="http://schemas.openxmlformats.org/officeDocument/2006/relationships/hyperlink" Target="https://forecast.masxai.com" TargetMode="External"/><Relationship Id="rId14" Type="http://schemas.openxmlformats.org/officeDocument/2006/relationships/hyperlink" Target="https://bt.masxai.com" TargetMode="External"/><Relationship Id="rId15" Type="http://schemas.openxmlformats.org/officeDocument/2006/relationships/hyperlink" Target="https://galileo.masxai.com/" TargetMode="External"/><Relationship Id="rId16" Type="http://schemas.openxmlformats.org/officeDocument/2006/relationships/hyperlink" Target="https://ateetclone.masxa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