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1C9BE" w14:textId="611E5558" w:rsidR="00B56947" w:rsidRDefault="00C253D1">
      <w:r>
        <w:t xml:space="preserve">High frequency oscillations are a good biomarkers to seizure onset zone. These phenomena were shown in intracranial EEG records. </w:t>
      </w:r>
    </w:p>
    <w:sectPr w:rsidR="00B56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41"/>
    <w:rsid w:val="00341D41"/>
    <w:rsid w:val="003C4497"/>
    <w:rsid w:val="009146AD"/>
    <w:rsid w:val="00B56947"/>
    <w:rsid w:val="00C2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40979"/>
  <w15:chartTrackingRefBased/>
  <w15:docId w15:val="{DB4772A2-0E6A-4D53-AC29-CE8222D39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Unique</dc:creator>
  <cp:keywords/>
  <dc:description/>
  <cp:lastModifiedBy>Unique</cp:lastModifiedBy>
  <cp:revision>2</cp:revision>
  <dcterms:created xsi:type="dcterms:W3CDTF">2024-06-20T06:06:00Z</dcterms:created>
  <dcterms:modified xsi:type="dcterms:W3CDTF">2024-06-20T06:34:00Z</dcterms:modified>
</cp:coreProperties>
</file>