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left"/>
      </w:pPr>
      <w:r>
        <w:t xml:space="preserve">Таблица 2 – Этапы съёмки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Этап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Срок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Сценарий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Сентябрь</w:t>
            </w:r>
          </w:p>
        </w:tc>
      </w:tr>
      <w:tr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Съёмка</w:t>
            </w:r>
          </w:p>
        </w:tc>
        <w:tc>
          <w:tcPr>
            <w:tcW w:w="4500" w:type="dxa"/>
          </w:tcPr>
          <w:p>
            <w:pPr>
              <w:ind w:firstLine="0"/>
              <w:jc w:val="left"/>
            </w:pPr>
            <w:r>
              <w:t xml:space="preserve">Октябрь</w:t>
            </w:r>
          </w:p>
        </w:tc>
      </w:tr>
    </w:tbl>
    <w:p>
      <w:r>
        <w:t xml:space="preserve">Этапы работы перечислены в таблице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