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Введение</w:t>
      </w:r>
    </w:p>
    <w:p>
      <w:r>
        <w:t xml:space="preserve">Файл формата .docx открывает и Word, и программа на Node.js.</w:t>
      </w:r>
    </w:p>
    <w:p>
      <w:r>
        <w:t xml:space="preserve">Абзац в файле — это элемент w:p, а прогон текста — w:r; встреча в 10:30.</w:t>
      </w:r>
    </w:p>
    <w:p>
      <w:r>
        <w:t xml:space="preserve">Литература</w:t>
      </w:r>
    </w:p>
    <w:p>
      <w:r>
        <w:t xml:space="preserve">1. Мильчин А. Э. Справочник издателя и автора. — Москва : Наука, 2014.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