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pPr>
        <w:sectPr>
          <w:pgSz w:w="11906" w:h="16838"/>
          <w:pgMar w:top="1134" w:right="851" w:bottom="1134" w:left="1701" w:header="708" w:footer="708" w:gutter="0"/>
        </w:sectPr>
      </w:pPr>
      <w:r>
        <w:t xml:space="preserve">Конец введения.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Иванов И. И. Как снять кино. — Москва : Наука, 2020. — 120 с.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NumType w:start="1"/>
      <w:pgSz w:w="11906" w:h="16838"/>
      <w:pgMar w:top="1134" w:right="851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8"/>
    </w:rPr>
  </w:style>
  <w:style w:type="paragraph" w:styleId="Heading2">
    <w:name w:val="heading 2"/>
    <w:basedOn w:val="a"/>
    <w:pPr>
      <w:keepNext/>
      <w:ind w:firstLine="709"/>
      <w:jc w:val="left"/>
      <w:outlineLvl w:val="1"/>
    </w:pPr>
    <w:rPr>
      <w:sz w:val="28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