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Титульный лист: название проекта</w:t>
      </w:r>
    </w:p>
    <w:p>
      <w:pPr>
        <w:pageBreakBefore/>
        <w:jc w:val="center"/>
      </w:pPr>
      <w:r>
        <w:t xml:space="preserve">Введение</w:t>
      </w:r>
    </w:p>
    <w:p>
      <w:r>
        <w:t xml:space="preserve">Первый абзац основного текста, в нём описывается тема проекта.</w:t>
      </w:r>
    </w:p>
    <w:p>
      <w:pPr>
        <w:pageBreakBefore/>
        <w:jc w:val="center"/>
      </w:pPr>
      <w:r>
        <w:t xml:space="preserve">Заключительная часть</w:t>
      </w:r>
    </w:p>
    <w:p>
      <w:r>
        <w:t xml:space="preserve">Второй абзац продолжает мысль и приводит пример из практики.</w:t>
      </w:r>
    </w:p>
    <w:p>
      <w:pPr>
        <w:pageBreakBefore/>
        <w:jc w:val="center"/>
      </w:pPr>
      <w:r>
        <w:t xml:space="preserve">Литература</w:t>
      </w:r>
    </w:p>
    <w:p>
      <w:r>
        <w:t xml:space="preserve">[1] Иванов И. И. Книга о кино. — М., 2020.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