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FPGA Timing Budget Specification</w:t>
      </w:r>
    </w:p>
    <w:p>
      <w:r>
        <w:rPr>
          <w:rFonts w:ascii="Arial" w:cs="Arial" w:eastAsia="Arial" w:hAnsi="Arial"/>
          <w:b w:val="false"/>
          <w:bCs w:val="false"/>
          <w:color w:val="555555"/>
          <w:sz w:val="21"/>
          <w:szCs w:val="21"/>
        </w:rPr>
        <w:t xml:space="preserve">Convergence MVP  |  Xilinx Artix-7 XC7A35T (-1 speed grade)  |  50 MHz System Clock  |  20.00 ns Period</w:t>
      </w:r>
    </w:p>
    <w:p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5 Critical Path Groups  •  27 Timing Paths  •  Net Combinational Budget: 18.76 ns  •  Worst-Case Slack: +1.26 ns (FORM-05)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 Clock Period Budget Decomposition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The 20.00 ns period is divided into fixed overhead (jitter, skew, Tco, Tsu) and the remaining combinational budget available to logic and routing. The 100 MHz SPI domain has a 10.00 ns period with the same overhead structure.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400"/>
        <w:gridCol w:w="600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Budget Component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Domain: sys_clk
50 MHz / 20.00 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Domain: clk_100mhz
100 MHz / 10.00 ns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Clock Period (T)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20.00 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10.00 ns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Hard constraint — set_clock constraint value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− Clock Uncertainty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−0.20 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−0.20 ns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Vivado STA uncertainty budget (MMCM jitter)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− Max Clock Skew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−0.40 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−0.40 ns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BUFG global tree worst-case skew, -1 grade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− FF Clock-to-Q (Tco)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−0.46 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−0.46 ns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FDRE launch flip-flop Tco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− FF Setup Time (Tsu)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−0.18 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−0.18 ns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FDRE capture flip-flop setup time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D7F"/>
                <w:sz w:val="17"/>
                <w:szCs w:val="17"/>
              </w:rPr>
              <w:t xml:space="preserve">= Net Combinational Budget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7F"/>
                <w:sz w:val="17"/>
                <w:szCs w:val="17"/>
              </w:rPr>
              <w:t xml:space="preserve">18.76 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D7F"/>
                <w:sz w:val="17"/>
                <w:szCs w:val="17"/>
              </w:rPr>
              <w:t xml:space="preserve">8.76 ns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4D7F"/>
                <w:sz w:val="17"/>
                <w:szCs w:val="17"/>
              </w:rPr>
              <w:t xml:space="preserve">Maximum allowable logic + routing delay between registers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Practical Design Target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≤ 17.50 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≤ 8.00 ns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Add 7% design margin for post-route vs. estimate delta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DSP48 Single-Stage Max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≤ 2.40 ns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≤ 2.40 ns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DSP48 registered output fits in both domains with margin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Max Logic Levels (budget)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≤ 19 levels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≤ 9 levels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At 0.90 ns/level typical; never exceed without pipeline reg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 Delay Model — Artix-7 -1 Speed Grade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All path estimates use the following primitives modeled at 25 °C. Post-route delays may vary ±15% from these estimates — always verify WNS in Vivado timing report after implementation.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  <w:gridCol w:w="54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Min (ns)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Typ (ns)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Max (ns)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Source / Notes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FDRE Clock-to-Q (Tco)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0.30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0.60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Artix-7 -1 speed grade, FDRE primitive, 25°C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FDRE Setup Time (Tsu)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Artix-7 -1 speed grade, FDRE primitive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FDRE Hold Time (Th)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0.08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0.12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Artix-7 -1, must be guaranteed by routing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LUT6 Logic Delay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0.32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0.50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0.65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Single SLICEL LUT6 combinational delay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LUT6 Routing Delay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0.25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0.40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0.65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Average on-chip routing per logic level, -1 grade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Total per Logic Level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0.57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0.90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1.30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LUT + routing; budget at 0.90 ns/level (typ)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DSP48E1 (Multiply)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1.80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2.40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3.00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Registered P output, -1 grade, at 100 MHz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CARRY4 per 4-bit group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0.20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0.32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0.45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Carry chain propagation through CARRY4 primitive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BRAM36 Read (reg out)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4.50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5.00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5.80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RAMB36E1 registered output, -1 grade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IOB Input FF (Tco)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0.30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0.60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Input IOB flip-flop clock-to-output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IOB Output FF (Tsu)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Output IOB flip-flop setup time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MMCM Output Jitter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±50 ps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±100 ps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Period jitter, -1 grade, BANDWIDTH=OPTIMIZED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Clock Skew (BUFG)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0.25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0.40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BUFG global clock tree, max skew across die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Clock Uncertainty (STA)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0.20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6"/>
                <w:szCs w:val="16"/>
              </w:rPr>
              <w:t xml:space="preserve">0.25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55"/>
              <w:left w:type="dxa" w:w="100"/>
              <w:bottom w:type="dxa" w:w="5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Vivado sets automatically based on MMCM spec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</w:rPr>
        <w:t xml:space="preserve">3.  Critical Path Timing Budget Table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Each row shows estimated end-to-end path delay (Tco + Logic + Route + Tsu) vs. the allocated budget and resulting slack. Inline notes call out mandatory pipelining requirements and synthesis directives.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800"/>
        <w:gridCol w:w="1800"/>
        <w:gridCol w:w="600"/>
        <w:gridCol w:w="600"/>
        <w:gridCol w:w="700"/>
        <w:gridCol w:w="700"/>
        <w:gridCol w:w="600"/>
        <w:gridCol w:w="900"/>
        <w:gridCol w:w="800"/>
        <w:gridCol w:w="800"/>
        <w:gridCol w:w="700"/>
      </w:tblGrid>
      <w:tr>
        <w:trPr>
          <w:tblHeader/>
        </w:trPr>
        <w:tc>
          <w:tcPr>
            <w:tcW w:type="dxa" w:w="700"/>
            <w:tcBorders>
              <w:top w:color="555555" w:sz="2"/>
              <w:left w:val="single" w:color="555555" w:sz="1"/>
              <w:bottom w:color="555555" w:sz="2"/>
              <w:right w:val="single" w:color="555555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Path ID</w:t>
            </w:r>
          </w:p>
        </w:tc>
        <w:tc>
          <w:tcPr>
            <w:tcW w:type="dxa" w:w="1900"/>
            <w:tcBorders>
              <w:top w:color="555555" w:sz="2"/>
              <w:left w:val="single" w:color="555555" w:sz="1"/>
              <w:bottom w:color="555555" w:sz="2"/>
              <w:right w:val="single" w:color="555555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Path Name</w:t>
            </w:r>
          </w:p>
        </w:tc>
        <w:tc>
          <w:tcPr>
            <w:tcW w:type="dxa" w:w="1800"/>
            <w:tcBorders>
              <w:top w:color="555555" w:sz="2"/>
              <w:left w:val="single" w:color="555555" w:sz="1"/>
              <w:bottom w:color="555555" w:sz="2"/>
              <w:right w:val="single" w:color="555555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Source Register</w:t>
            </w:r>
          </w:p>
        </w:tc>
        <w:tc>
          <w:tcPr>
            <w:tcW w:type="dxa" w:w="1800"/>
            <w:tcBorders>
              <w:top w:color="555555" w:sz="2"/>
              <w:left w:val="single" w:color="555555" w:sz="1"/>
              <w:bottom w:color="555555" w:sz="2"/>
              <w:right w:val="single" w:color="555555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Destination Register</w:t>
            </w:r>
          </w:p>
        </w:tc>
        <w:tc>
          <w:tcPr>
            <w:tcW w:type="dxa" w:w="600"/>
            <w:tcBorders>
              <w:top w:color="555555" w:sz="2"/>
              <w:left w:val="single" w:color="555555" w:sz="1"/>
              <w:bottom w:color="555555" w:sz="2"/>
              <w:right w:val="single" w:color="555555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Logic
Levels</w:t>
            </w:r>
          </w:p>
        </w:tc>
        <w:tc>
          <w:tcPr>
            <w:tcW w:type="dxa" w:w="600"/>
            <w:tcBorders>
              <w:top w:color="555555" w:sz="2"/>
              <w:left w:val="single" w:color="555555" w:sz="1"/>
              <w:bottom w:color="555555" w:sz="2"/>
              <w:right w:val="single" w:color="555555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Tco
(ns)</w:t>
            </w:r>
          </w:p>
        </w:tc>
        <w:tc>
          <w:tcPr>
            <w:tcW w:type="dxa" w:w="700"/>
            <w:tcBorders>
              <w:top w:color="555555" w:sz="2"/>
              <w:left w:val="single" w:color="555555" w:sz="1"/>
              <w:bottom w:color="555555" w:sz="2"/>
              <w:right w:val="single" w:color="555555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Logic
(ns)</w:t>
            </w:r>
          </w:p>
        </w:tc>
        <w:tc>
          <w:tcPr>
            <w:tcW w:type="dxa" w:w="700"/>
            <w:tcBorders>
              <w:top w:color="555555" w:sz="2"/>
              <w:left w:val="single" w:color="555555" w:sz="1"/>
              <w:bottom w:color="555555" w:sz="2"/>
              <w:right w:val="single" w:color="555555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Route
(ns)</w:t>
            </w:r>
          </w:p>
        </w:tc>
        <w:tc>
          <w:tcPr>
            <w:tcW w:type="dxa" w:w="600"/>
            <w:tcBorders>
              <w:top w:color="555555" w:sz="2"/>
              <w:left w:val="single" w:color="555555" w:sz="1"/>
              <w:bottom w:color="555555" w:sz="2"/>
              <w:right w:val="single" w:color="555555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Tsu
(ns)</w:t>
            </w:r>
          </w:p>
        </w:tc>
        <w:tc>
          <w:tcPr>
            <w:tcW w:type="dxa" w:w="900"/>
            <w:tcBorders>
              <w:top w:color="555555" w:sz="2"/>
              <w:left w:val="single" w:color="555555" w:sz="1"/>
              <w:bottom w:color="555555" w:sz="2"/>
              <w:right w:val="single" w:color="555555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Est. Total
(ns)</w:t>
            </w:r>
          </w:p>
        </w:tc>
        <w:tc>
          <w:tcPr>
            <w:tcW w:type="dxa" w:w="800"/>
            <w:tcBorders>
              <w:top w:color="555555" w:sz="2"/>
              <w:left w:val="single" w:color="555555" w:sz="1"/>
              <w:bottom w:color="555555" w:sz="2"/>
              <w:right w:val="single" w:color="555555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Budget
(ns)</w:t>
            </w:r>
          </w:p>
        </w:tc>
        <w:tc>
          <w:tcPr>
            <w:tcW w:type="dxa" w:w="800"/>
            <w:tcBorders>
              <w:top w:color="555555" w:sz="2"/>
              <w:left w:val="single" w:color="555555" w:sz="1"/>
              <w:bottom w:color="555555" w:sz="2"/>
              <w:right w:val="single" w:color="555555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Slack
(ns)</w:t>
            </w:r>
          </w:p>
        </w:tc>
        <w:tc>
          <w:tcPr>
            <w:tcW w:type="dxa" w:w="700"/>
            <w:tcBorders>
              <w:top w:color="555555" w:sz="2"/>
              <w:left w:val="single" w:color="555555" w:sz="1"/>
              <w:bottom w:color="555555" w:sz="2"/>
              <w:right w:val="single" w:color="555555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Risk</w:t>
            </w:r>
          </w:p>
        </w:tc>
      </w:tr>
      <w:tr>
        <w:tc>
          <w:tcPr>
            <w:gridSpan w:val="13"/>
            <w:tcBorders>
              <w:top w:color="1A4D7F" w:sz="2"/>
              <w:left w:color="1A4D7F" w:sz="2"/>
              <w:bottom w:color="1A4D7F" w:sz="2"/>
              <w:right w:color="1A4D7F" w:sz="2"/>
            </w:tcBorders>
            <w:shd w:fill="1A4D7F" w:val="clear"/>
            <w:tcMar>
              <w:top w:type="dxa" w:w="65"/>
              <w:left w:type="dxa" w:w="140"/>
              <w:bottom w:type="dxa" w:w="6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PID COMPUTATION PATH — UAV Motor Control (sys_clk @ 50 MHz, CE strobe 1 kHz)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PID-01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Proportional Term MAC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pid_error_reg[15:0]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pid_p_term_reg[31:0]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2.40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1.60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4.64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19.20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+14.56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LOW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DSP48E1 registered P×Kp. Single DSP48 pipeline stage; output registered. Synthesis should infer DSP48 from 16×16 multiply.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PID-02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Integral Accumulator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pid_i_term_reg[31:0]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pid_i_accum_reg[47:0]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1.50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1.20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3.34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18.00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+14.66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LOW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32-bit adder + 47-bit accumulator register. Carry-ripple through 47 bits ~ 1.5 ns. Must verify no carry chain longer than 16 bits without CARRY4 insertion.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PID-03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Derivative Delta Compute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pid_error_reg[15:0]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pid_d_delta_reg[15:0]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0.80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2.44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16.00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+13.56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LOW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Simple subtractor: error − error_prev. 2 logic levels. Easily met. Registered subtractor.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PID-04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Derivative Term MAC (D×Kd)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pid_d_delta_reg[15:0]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pid_d_term_reg[31:0]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2.40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1.60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4.64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19.20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+14.56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LOW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DSP48E1 registered. Identical structure to PID-01. Kd coefficient loaded from coefficient RAM at initialization.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PID-05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PID Sum &amp; Saturation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pid_p_term_reg[31:0]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pid_output_reg[15:0]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3.00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2.40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6.04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18.50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+12.46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Three-input adder (P+I+D) then saturate to 15-bit unsigned. Six LUT levels: 2 adder + 2 adder + 2 comparator. Critical: cascaded adders may cause routing congestion near DSP48 columns. Consider pipeline register between adder stages.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PID-06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PWM Counter Compare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pid_output_reg[15:0]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pwm_duty_reg[15:0]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1.50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1.20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3.34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16.00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+12.66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LOW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16-bit comparator between PWM counter and duty cycle register. Output is single-bit PWM_OUT FF. Easily met at 50 MHz.</w:t>
            </w:r>
          </w:p>
        </w:tc>
      </w:tr>
      <w:tr>
        <w:tc>
          <w:tcPr>
            <w:gridSpan w:val="13"/>
            <w:tcBorders>
              <w:top w:color="1A6B3C" w:sz="2"/>
              <w:left w:color="1A6B3C" w:sz="2"/>
              <w:bottom w:color="1A6B3C" w:sz="2"/>
              <w:right w:color="1A6B3C" w:sz="2"/>
            </w:tcBorders>
            <w:shd w:fill="1A6B3C" w:val="clear"/>
            <w:tcMar>
              <w:top w:type="dxa" w:w="65"/>
              <w:left w:type="dxa" w:w="140"/>
              <w:bottom w:type="dxa" w:w="6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KALMAN FILTER MAC CHAIN — CubeSat EKF State Update (sys_clk @ 50 MHz, CE strobe 100 Hz)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EKF-01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State Prediction MAC (F×x)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ekf_state_reg[47:0]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ekf_predict_reg[47:0]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2.40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2.00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5.04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19.50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+14.46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LOW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DSP48E1 cascade: 16×16 multiply accumulate in 3-stage pipeline. state_reg feeds DSP A/B ports. At 50 MHz the 2.4 ns DSP latency is well within budget. Pipelined → multi-cycle path constraint applied (MCP=500 sys_clk cycles).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EKF-02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Innovation Compute (z−Hx)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ekf_meas_reg[31:0]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ekf_innov_reg[31:0]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2.00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1.60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4.24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18.00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+13.76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LOW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32-bit subtractor (measurement minus predicted output H×x). H is identity matrix for position, so effectively meas − predict[31:0]. 4 LUT levels for 32-bit subtraction with CARRY4 primitives.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EKF-03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Kalman Gain MAC (K×innov)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ekf_gain_reg[31:0]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ekf_correction_reg[47:0]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2.40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2.00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5.04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19.50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+14.46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LOW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DSP48 registered multiply. Gain K pre-computed offline and stored in BRAM coefficient table. 5 levels: DSP multiply (2.4 ns) + output routing to correction register.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EKF-04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State Update Adder (x += K×innov)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ekf_predict_reg[47:0]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ekf_state_reg[47:0]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3.00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2.40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6.04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18.50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+12.46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48-bit adder: predicted state plus correction term. 48-bit CARRY4 chain spans 12 CARRY4 slices — routing must stay in same clock region. CRITICAL: verify placement constraint keeps adder chain within 3 CLB rows to avoid &gt;2.4 ns routing.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EKF-05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Covariance Update MAC (P update)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ekf_cov_reg[47:0]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ekf_cov_next_reg[47:0]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3.60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3.20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7.44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19.80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+12.36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Most complex EKF path: P = (I-KH)P requires 3 sequential multiplies. At 50 MHz this is TIGHT. Recommend pipeline register insertion after first multiply to split into two 4-level paths each ~9.5 ns. If unregistered, slack = 2.76 ns — meets but marginal.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EKF-06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BRAM Coefficient Read Path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bram_addr_reg[9:0]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ekf_coeff_reg[31:0]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5.00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1.00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6.64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F5E3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18.00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+11.36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LOW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BRAM read latency: 2 clock cycles (registered output mode). Logic = BRAM access 5.0 ns (RAMB36E1, -1 grade). With registered output the path is address_reg → BRAM → output_reg and spans exactly 1 clock period by definition of BRAM registered-output mode.</w:t>
            </w:r>
          </w:p>
        </w:tc>
      </w:tr>
      <w:tr>
        <w:tc>
          <w:tcPr>
            <w:gridSpan w:val="13"/>
            <w:tcBorders>
              <w:top w:color="7D6608" w:sz="2"/>
              <w:left w:color="7D6608" w:sz="2"/>
              <w:bottom w:color="7D6608" w:sz="2"/>
              <w:right w:color="7D6608" w:sz="2"/>
            </w:tcBorders>
            <w:shd w:fill="7D6608" w:val="clear"/>
            <w:tcMar>
              <w:top w:type="dxa" w:w="65"/>
              <w:left w:type="dxa" w:w="140"/>
              <w:bottom w:type="dxa" w:w="6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UART BAUD RATE GENERATOR — All UART Controllers (sys_clk @ 50 MHz, target 115200 baud)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UART-01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Baud Counter Increment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baud_cnt_reg[8:0]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baud_cnt_reg[8:0]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0.80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2.44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16.00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+13.56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LOW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9-bit counter (0 to 433 for 115200 baud: 50MHz/115200=434.03). Increment +1 with 2-level carry chain via CARRY4. Trivially met. Counter value 433 → terminal count decode.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UART-02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Terminal Count Decode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baud_cnt_reg[8:0]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baud_tick_reg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0.80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2.44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14.00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+11.56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LOW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9-bit comparator (cnt == 433) implemented as LUT6+LUT2. 2 logic levels. Single-bit baud_tick output register. Extremely easy timing.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UART-03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TX Shift Register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baud_tick_reg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uart_tx_shift_reg[10:0]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1.50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1.20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3.34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16.00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+12.66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LOW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10-bit shift register (start+8data+stop) gated by baud_tick CE. Logic: mux(shift, load) + SR chain. CE-gated FF — timing is from baud_tick_reg → shift MUX → shift_reg. Trivially met.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UART-04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RX Oversampling Counter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baud_cnt_reg[8:0]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rx_sample_tick_reg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1.50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1.20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3.34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16.00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+12.66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LOW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16× oversampling counter (50MHz / (115200×16) = 27.1 → counter to 27). Mid-bit sample at count=13. 3 LUT levels: counter compare + edge detect + tick register.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UART-05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RX Start-Bit Detection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uart_rx_pin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rx_start_det_reg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0.00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1.50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1.20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2.88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F3C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16.00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+13.12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LOW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Input IOB FF captures uart_rx directly (Tco=0 for IOB). Two-stage synchronizer for metastability then falling-edge detector. The synchronizer adds 1 clock latency — acceptable for async UART input. set_false_path on first synchronizer FF.</w:t>
            </w:r>
          </w:p>
        </w:tc>
      </w:tr>
      <w:tr>
        <w:tc>
          <w:tcPr>
            <w:gridSpan w:val="13"/>
            <w:tcBorders>
              <w:top w:color="7D4308" w:sz="2"/>
              <w:left w:color="7D4308" w:sz="2"/>
              <w:bottom w:color="7D4308" w:sz="2"/>
              <w:right w:color="7D4308" w:sz="2"/>
            </w:tcBorders>
            <w:shd w:fill="7D4308" w:val="clear"/>
            <w:tcMar>
              <w:top w:type="dxa" w:w="65"/>
              <w:left w:type="dxa" w:w="140"/>
              <w:bottom w:type="dxa" w:w="6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SPI SHIFT REGISTER — IMU Interface (clk_100mhz @ 100 MHz, 10 ns period)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SPI-01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SPI SCK Clock Divider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spi_clk_cnt_reg[2:0]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spi_clk_cnt_reg[2:0]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0.70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0.56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1.90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9.50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+7.60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LOW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3-bit counter (0→9) running on clk_100mhz divides to 10 MHz SPI SCK (÷10). At 100 MHz period = 10 ns. Budget = 9.50 ns (leaves 0.04 ns for setup uncertainty). Easily met. CPOL=0, CPHA=0.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SPI-02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SPI MOSI Shift Out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spi_tx_shift_reg[15:0]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spi_mosi_iobreg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0.84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2.48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9.20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+6.72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LOW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16-bit MSB-first shift register. CE gated by spi_clk_cnt terminal count. Output drives IOB output FF (MOSI). Timing: shift_reg → MUX(shift/load) → IOB FF. IOB FF Tsu=0.18 ns from internal side. MOSI changes on falling edge of SCK (CPHA=0).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SPI-03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SPI MISO Shift In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spi_miso_iobreg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spi_rx_shift_reg[15:0]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0.70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0.56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1.90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8.50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+6.60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LOW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MISO captured in IOB input FF on rising edge of SCK. Then shifted into rx_shift_reg on same edge. Path: IOB_FF(Tco=0.46) → routing → rx_shift_reg(Tsu=0.18). Budget conservative at 8.5 ns. Actual delay ~1.66 ns — 6.84 ns slack.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SPI-04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SPI Chip-Select Control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spi_fsm_state_reg[2:0]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spi_cs_n_iobreg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0.84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2.48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9.00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+6.52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LOW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3-state FSM (IDLE, TRANSFER, CS_HOLD) drives CS_N through IOB output FF. FSM state decode = 3 LUT levels. CS_N must be asserted ≥2 SPI clocks before SCLK (MPU-9250 requirement) — enforced by FSM counter, not timing path.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SPI-05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SPI RX FIFO Write (CDC path)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spi_rx_done_reg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spi_fifo_wr_ptr_gray[4:0]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1.50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2.00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4.14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9.80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+5.66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CRITICAL CDC PATH: clk_100mhz → sys_clk async FIFO write pointer Gray code update. set_max_delay -datapath_only 10.0 ns applied. Routing across clock domains may add 1.5–2.0 ns. Gray code ensures only 1-bit transitions per increment — metastability confined to 1 bit. MTBF &gt;&gt; 10^9 hours at these frequencies.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SPI-06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SPI Transaction Completion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spi_bit_cnt_reg[4:0]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spi_rx_done_reg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1.00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0.84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2.48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DEBD0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9.00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+6.52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LOW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5-bit counter (0→15 for 16-bit SPI word) terminal count decode triggers rx_done pulse. 3 LUT levels: counter==15 compare + pulse gen + done_reg. Easily met at 100 MHz.</w:t>
            </w:r>
          </w:p>
        </w:tc>
      </w:tr>
      <w:tr>
        <w:tc>
          <w:tcPr>
            <w:gridSpan w:val="13"/>
            <w:tcBorders>
              <w:top w:color="7D2020" w:sz="2"/>
              <w:left w:color="7D2020" w:sz="2"/>
              <w:bottom w:color="7D2020" w:sz="2"/>
              <w:right w:color="7D2020" w:sz="2"/>
            </w:tcBorders>
            <w:shd w:fill="7D2020" w:val="clear"/>
            <w:tcMar>
              <w:top w:type="dxa" w:w="65"/>
              <w:left w:type="dxa" w:w="140"/>
              <w:bottom w:type="dxa" w:w="65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FORMATION CONTROL CALCULATIONS — Convergence Engine (sys_clk @ 50 MHz, CE strobe 10 Hz)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FORM-01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Position Delta Compute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vehicle_pos_reg[47:0]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pos_delta_reg[47:0]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3.00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2.40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6.04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19.00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+12.96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48-bit subtractor: target_pos − current_pos for X, Y, Z axes. Three parallel 48-bit subtractors. Routing between position register bank and delta registers is the dominant delay. Place registers in adjacent CLB columns. set_multicycle_path 5000 applied (10 Hz CE).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FORM-02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Euclidean Distance Squared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pos_delta_reg[47:0]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dist_sq_reg[63:0]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3.60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3.20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7.44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19.80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+12.36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TIGHTEST PATH in formation engine: dx² + dy² + dz² requires three 48×48 multiplies (using DSP cascade) plus a 3-input 96-bit adder. At 50 MHz this CANNOT be done combinationally in one cycle. MANDATORY: register after each multiply stage. With 3 pipeline registers, each sub-path is ~7.0 ns — easily met.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FORM-03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Bearing Angle Compute (CORDIC)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pos_delta_reg[47:0]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bearing_reg[31:0]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3.30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2.80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6.74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19.50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+12.76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D6608"/>
                <w:sz w:val="16"/>
                <w:szCs w:val="16"/>
              </w:rPr>
              <w:t xml:space="preserve">MEDIUM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CORDIC rotation: 16-iteration pipeline for atan2(dy, dx). Each CORDIC stage is 2 logic levels (shift + add). Fully pipelined — 16 pipeline stages, each ~2.5 ns. Throughput: 1 result per clock; latency: 16 cycles. Well within 50 MHz.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FORM-04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Formation Error Accumulator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bearing_reg[31:0]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form_error_reg[47:0]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2.40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2.00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5.04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18.00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+12.96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LOW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32-bit position error accumulated to 48-bit total formation error metric. DSP48 MAC: error × weight + accumulator. Pipelined with registered DSP output. Weight coefficients from BRAM lookup.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FORM-05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Assignment Optimizer (Hungarian)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cost_matrix_reg[15:0]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assign_out_reg[2:0]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9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4.00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3.60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8.24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19.90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+11.66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0000"/>
                <w:sz w:val="16"/>
                <w:szCs w:val="16"/>
              </w:rPr>
              <w:t xml:space="preserve">HIGH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CRITICAL PATH — HIGHEST RISK: Hungarian algorithm row/column reduction. 9 logic levels through cost comparator tree. Slack = 1.26 ns. MANDATORY ACTIONS: (1) Pipeline register after row-min stage. (2) Use URAM or BRAM for cost matrix storage. (3) Apply Vivado directive: set_property STEPS.ROUTE_DESIGN.ARGS.DIRECTIVE AggressiveExplore. If slack still &lt;0.5 ns, reduce matrix dimension from 6×6 to 3×3 and apply 2-stage pipelining.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11111"/>
                <w:sz w:val="14"/>
                <w:szCs w:val="14"/>
              </w:rPr>
              <w:t xml:space="preserve">FORM-06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Gimbal Pointing Command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assign_out_reg[2:0]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11111"/>
                <w:sz w:val="14"/>
                <w:szCs w:val="14"/>
              </w:rPr>
              <w:t xml:space="preserve">gimbal_az_reg[15:0]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0.46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2.40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2.00</w:t>
            </w:r>
          </w:p>
        </w:tc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0.18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6"/>
                <w:szCs w:val="16"/>
              </w:rPr>
              <w:t xml:space="preserve">5.04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9EBE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6"/>
                <w:szCs w:val="16"/>
              </w:rPr>
              <w:t xml:space="preserve">18.00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+12.96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1A"/>
                <w:sz w:val="16"/>
                <w:szCs w:val="16"/>
              </w:rPr>
              <w:t xml:space="preserve">LOW</w:t>
            </w:r>
          </w:p>
        </w:tc>
      </w:tr>
      <w:tr>
        <w:tc>
          <w:tcPr>
            <w:gridSpan w:val="13"/>
            <w:tcBorders>
              <w:top w:val="single" w:color="DDDDDD" w:sz="1"/>
              <w:left w:val="single" w:color="DDDDDD" w:sz="1"/>
              <w:bottom w:val="single" w:color="888888" w:sz="1"/>
              <w:right w:val="single" w:color="DDDDDD" w:sz="1"/>
            </w:tcBorders>
            <w:shd w:fill="FAFAFA" w:val="clear"/>
            <w:tcMar>
              <w:top w:type="dxa" w:w="40"/>
              <w:left w:type="dxa" w:w="14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4"/>
                <w:szCs w:val="14"/>
              </w:rPr>
              <w:t xml:space="preserve">Notes: </w:t>
            </w:r>
            <w:r>
              <w:rPr>
                <w:rFonts w:ascii="Arial" w:cs="Arial" w:eastAsia="Arial" w:hAnsi="Arial"/>
                <w:color w:val="444444"/>
                <w:sz w:val="14"/>
                <w:szCs w:val="14"/>
              </w:rPr>
              <w:t xml:space="preserve">Lookup table: assignment index → pre-computed gimbal azimuth/elevation angles. BRAM-based LUT (256-entry, 32-bit wide). BRAM output registered. Path: assign_reg → BRAM addr → BRAM out_reg → gimbal_cmd_reg spans 2 clock cycles by design.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  <w:pageBreakBefore/>
      </w:pPr>
      <w:r>
        <w:rPr>
          <w:rFonts w:ascii="Arial" w:cs="Arial" w:eastAsia="Arial" w:hAnsi="Arial"/>
          <w:b/>
          <w:bCs/>
          <w:color w:val="2E4057"/>
        </w:rPr>
        <w:t xml:space="preserve">4.  Timing Summary &amp; Critical Path Analysis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Total paths analysed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27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All groups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Paths meeting budget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25 of 27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Worst-case slack (WNS)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+1.26 ns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FORM-05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Pipeline mandatory — see notes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Best-case slack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+14.66 ns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UART-02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UART terminal count decode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Average slack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+11.73 ns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All paths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Paths requiring pipeline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EKF-05, FORM-02, FORM-05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Pipeline regs MANDATORY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Paths with slack &lt; 2 ns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0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Increase P&amp;R effort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SPI domain (100 MHz) WNS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+6.84 ns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SPI-03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Easily met at 100 MHz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CDC paths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2 true async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SPI-05 + req/ack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Async FIFO + 2FF sync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7"/>
                <w:szCs w:val="17"/>
              </w:rPr>
              <w:t xml:space="preserve">Recommended impl setting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AggressiveExplore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FORM-05 only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7"/>
                <w:szCs w:val="17"/>
              </w:rPr>
              <w:t xml:space="preserve">set_property on impl_1 run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  Mandatory Pipeline Register Insertions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The following three paths CANNOT close timing without additional pipeline registers. These are design-level requirements — not timing workarounds: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EKF-05 — Kalman Filter Covariance Update (P update): </w:t>
      </w:r>
      <w:r>
        <w:rPr>
          <w:rFonts w:ascii="Arial" w:cs="Arial" w:eastAsia="Arial" w:hAnsi="Arial"/>
          <w:sz w:val="18"/>
          <w:szCs w:val="18"/>
        </w:rPr>
        <w:t xml:space="preserve">Insert one pipeline register between the first multiply output and the second multiply input. This creates two sub-paths each ~9.2 ns, giving +8.8 ns margin in each. Adds 1 clock cycle of EKF latency (acceptable at 100 Hz update rate).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FORM-02 — Euclidean Distance Squared (dx² + dy² + dz²): </w:t>
      </w:r>
      <w:r>
        <w:rPr>
          <w:rFonts w:ascii="Arial" w:cs="Arial" w:eastAsia="Arial" w:hAnsi="Arial"/>
          <w:sz w:val="18"/>
          <w:szCs w:val="18"/>
        </w:rPr>
        <w:t xml:space="preserve">Insert 3 pipeline registers: (1) after dx², (2) after dy², (3) after accumulator (dx²+dy²). Results in 3 sub-paths each ~6.5 ns. Adds 3 clock cycles of formation engine latency (negligible at 10 Hz update rate).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FORM-05 — Hungarian Assignment Optimizer: </w:t>
      </w:r>
      <w:r>
        <w:rPr>
          <w:rFonts w:ascii="Arial" w:cs="Arial" w:eastAsia="Arial" w:hAnsi="Arial"/>
          <w:sz w:val="18"/>
          <w:szCs w:val="18"/>
        </w:rPr>
        <w:t xml:space="preserve">Insert pipeline register after row-min reduction stage (splitting 9 levels → two 5-level paths of ~5.0 ns each). If WNS remains &lt; 0.5 ns post-route: reduce cost matrix from 6×6 to 3×3 with software pre-filtering, or deploy Vivado directive AggressiveExplore on the impl_1 run.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6.  Vivado Timing Constraint Snippets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Key XDC entries specific to the paths in this document. Combine with the full constraint file from the Clock Architecture Specification document.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0"/>
      </w:tblGrid>
      <w:tr>
        <w:tc>
          <w:tcPr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0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6"/>
                <w:szCs w:val="16"/>
              </w:rPr>
              <w:t xml:space="preserve"># ── Period Budget Constraints ────────────────────────────────────────────────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create_clock -name sys_clk -period 20.000 [get_ports sys_clk_50mhz]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create_generated_clock -name clk_100mhz -multiply_by 2 -master_clock sys_clk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    [get_pins MMCM0_inst/CLKOUT0]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6"/>
                <w:szCs w:val="16"/>
              </w:rPr>
              <w:t xml:space="preserve"># ── Critical Path: Assignment Optimizer (FORM-05) 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6"/>
                <w:szCs w:val="16"/>
              </w:rPr>
              <w:t xml:space="preserve"># Apply aggressive placement to keep cost matrix comparator tree in 2 CLB rows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0088"/>
                <w:sz w:val="16"/>
                <w:szCs w:val="16"/>
              </w:rPr>
              <w:t xml:space="preserve">set_property STEPS.PLACE_DESIGN.ARGS.DIRECTIVE AltSpreadLogicHighUtilSLRs \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    [get_runs impl_1]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880088"/>
                <w:sz w:val="16"/>
                <w:szCs w:val="16"/>
              </w:rPr>
              <w:t xml:space="preserve">set_property STEPS.ROUTE_DESIGN.ARGS.DIRECTIVE AggressiveExplore [get_runs impl_1]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6"/>
                <w:szCs w:val="16"/>
              </w:rPr>
              <w:t xml:space="preserve"># ── Multicycle Paths (CE-domain boundaries in sys_clk) 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55CC"/>
                <w:sz w:val="16"/>
                <w:szCs w:val="16"/>
              </w:rPr>
              <w:t xml:space="preserve">set_multicycle_path 50   -setup -from [get_cells *pid_out_reg*]  -to [get_cells *form*]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55CC"/>
                <w:sz w:val="16"/>
                <w:szCs w:val="16"/>
              </w:rPr>
              <w:t xml:space="preserve">set_multicycle_path 49   -hold  -from [get_cells *pid_out_reg*]  -to [get_cells *form*]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55CC"/>
                <w:sz w:val="16"/>
                <w:szCs w:val="16"/>
              </w:rPr>
              <w:t xml:space="preserve">set_multicycle_path 500  -setup -from [get_cells *ekf_out_reg*]  -to [get_cells *form*]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55CC"/>
                <w:sz w:val="16"/>
                <w:szCs w:val="16"/>
              </w:rPr>
              <w:t xml:space="preserve">set_multicycle_path 499  -hold  -from [get_cells *ekf_out_reg*]  -to [get_cells *form*]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55CC"/>
                <w:sz w:val="16"/>
                <w:szCs w:val="16"/>
              </w:rPr>
              <w:t xml:space="preserve">set_multicycle_path 5000 -setup -from [get_cells *pos_hold_reg*] -to [get_cells *conv_in*]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55CC"/>
                <w:sz w:val="16"/>
                <w:szCs w:val="16"/>
              </w:rPr>
              <w:t xml:space="preserve">set_multicycle_path 4999 -hold  -from [get_cells *pos_hold_reg*] -to [get_cells *conv_in*]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6"/>
                <w:szCs w:val="16"/>
              </w:rPr>
              <w:t xml:space="preserve"># ── SPI CDC: clk_100mhz → sys_clk async FIFO pointers 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5500"/>
                <w:sz w:val="16"/>
                <w:szCs w:val="16"/>
              </w:rPr>
              <w:t xml:space="preserve">set_max_delay -datapath_only -from [get_clocks clk_100mhz] -to [get_clocks sys_clk] 10.0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5500"/>
                <w:sz w:val="16"/>
                <w:szCs w:val="16"/>
              </w:rPr>
              <w:t xml:space="preserve">set_false_path -from [get_cells *spi_fifo_wr_ptr*] -to [get_cells *wr_ptr_s1*]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6"/>
                <w:szCs w:val="16"/>
              </w:rPr>
              <w:t xml:space="preserve"># ── UART RX synchronizer (set_false_path on first FF) 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CC5500"/>
                <w:sz w:val="16"/>
                <w:szCs w:val="16"/>
              </w:rPr>
              <w:t xml:space="preserve">set_false_path -from [get_ports {*uart_rx}] -to [get_cells *rx_sync_s1*]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11111"/>
                <w:sz w:val="16"/>
                <w:szCs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6"/>
                <w:szCs w:val="16"/>
              </w:rPr>
              <w:t xml:space="preserve"># ── Pipeline Register Requirements (mandatory for timing closure) ─────────────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6"/>
                <w:szCs w:val="16"/>
              </w:rPr>
              <w:t xml:space="preserve"># EKF-05: Covariance update — insert pipeline reg between multiply stages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6"/>
                <w:szCs w:val="16"/>
              </w:rPr>
              <w:t xml:space="preserve"># FORM-02: Euclidean distance — insert 3 pipeline registers (after each multiply)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6"/>
                <w:szCs w:val="16"/>
              </w:rPr>
              <w:t xml:space="preserve"># FORM-05: Hungarian optimizer — insert pipeline reg after row-min reduction stage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7700"/>
                <w:sz w:val="16"/>
                <w:szCs w:val="16"/>
              </w:rPr>
              <w:t xml:space="preserve"># PID-05:  PID sum — optional pipeline reg between (P+I) and (+D) if WNS &lt; 1.0 ns</w:t>
            </w:r>
          </w:p>
        </w:tc>
      </w:tr>
    </w:tbl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7.  Timing Closure Verification Checklist</w:t>
      </w:r>
    </w:p>
    <w:p>
      <w:r>
        <w:rPr>
          <w:rFonts w:ascii="Arial" w:cs="Arial" w:eastAsia="Arial" w:hAnsi="Arial"/>
          <w:b w:val="false"/>
          <w:bCs w:val="false"/>
          <w:color w:val="111111"/>
          <w:sz w:val="18"/>
          <w:szCs w:val="18"/>
        </w:rPr>
        <w:t xml:space="preserve">Complete the following before sign-off on each implementation pass:</w:t>
      </w:r>
    </w:p>
    <w:p>
      <w:r>
        <w:rPr>
          <w:rFonts w:ascii="Arial" w:cs="Arial" w:eastAsia="Arial" w:hAnsi="Arial"/>
          <w:b w:val="false"/>
          <w:bCs w:val="false"/>
          <w:color w:val="111111"/>
          <w:sz w:val="19"/>
          <w:szCs w:val="19"/>
        </w:rPr>
        <w:t xml:space="preserve"> 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[ ] report_timing_summary -delay_type max -report_unconstrained -check_timing_verbose — WNS ≥ 0 on ALL clocks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[ ] report_timing_summary -delay_type min — WHS (hold) ≥ 0 on ALL clocks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[ ] report_cdc — zero unresolved CDC crossings; SPI async FIFO resolved by set_max_delay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[ ] report_clock_interaction — verify all async clock pairs have set_clock_groups -asynchronous applied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[ ] FORM-05 (Hungarian optimizer): WNS ≥ +0.50 ns after routing; if not, apply AggressiveExplore directive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[ ] EKF-05 pipeline register present in RTL and visible in implemented netlist (report_design_analysis -complexity)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[ ] FORM-02 3× pipeline registers present; formation engine latency = 3 extra cycles at 10 Hz CE — verified in simulation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[ ] SPI MISO IOB capture: verify MISO is placed in IOB FF using report_io — NOT in fabric FF (else +1.5 ns penalty)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[ ] UART IOB capture: rx_sync_s1 has ASYNC_REG attribute set to TRUE — visible in XDC or RTL attribute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[ ] 100 MHz domain: all SPI paths have WNS ≥ 0; SPI-05 CDC pointer has set_false_path applied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[ ] Temperature derating: run Vivado at worst-case Tj = 85°C — recheck WNS (Artix-7 slows ~8% from 25°C to 85°C)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333333"/>
          <w:sz w:val="16"/>
          <w:szCs w:val="16"/>
        </w:rPr>
        <w:t xml:space="preserve">[ ] After any ECO or incremental compile: re-run report_timing_summary to confirm no regressions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Arial" w:cs="Arial" w:eastAsia="Arial" w:hAnsi="Arial"/>
      <w:b/>
      <w:bCs/>
      <w:color w:val="1F3864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60" w:before="18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40" w:before="12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2026-03-20T17:21:40.720Z</dcterms:created>
  <dcterms:modified xsi:type="dcterms:W3CDTF">2026-03-20T17:21:40.721Z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