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6f5a7531029e45e9" /><Relationship Type="http://schemas.openxmlformats.org/package/2006/relationships/metadata/core-properties" Target="/docProps/core.xml" Id="R0f84507bf45746ce" /><Relationship Type="http://schemas.openxmlformats.org/officeDocument/2006/relationships/extended-properties" Target="/docProps/app.xml" Id="R0471b47734c64195" /></Relationships>
</file>

<file path=word/document.xml><?xml version="1.0" encoding="utf-8"?>
<w:document xmlns:r="http://schemas.openxmlformats.org/officeDocument/2006/relationships" xmlns:w="http://schemas.openxmlformats.org/wordprocessingml/2006/main" xmlns:mc="http://schemas.openxmlformats.org/markup-compatibility/2006" xmlns:w14="http://schemas.microsoft.com/office/word/2010/wordml" mc:Ignorable="w14">
  <w:body>
    <w:p w14:paraId="00100000" w14:textId="00100001">
      <w:pPr>
        <w:pStyle w:val="Heading1"/>
        <w:spacing w:after="200"/>
      </w:pPr>
      <w:r>
        <w:rPr>
          <w:rFonts w:ascii="Cambria" w:hAnsi="Cambria" w:eastAsia="Cambria"/>
          <w:b/>
          <w:sz w:val="48"/>
        </w:rPr>
        <w:t xml:space="preserve">Open Arena Show Me How — Copione in italiano</w:t>
      </w:r>
    </w:p>
    <w:p w14:paraId="00100002" w14:textId="00100003">
      <w:pPr>
        <w:spacing w:after="320"/>
      </w:pPr>
      <w:r>
        <w:rPr>
          <w:rFonts w:ascii="Calibri" w:hAnsi="Calibri" w:eastAsia="Calibri"/>
          <w:i/>
          <w:color w:val="666666"/>
          <w:sz w:val="24"/>
        </w:rPr>
        <w:t xml:space="preserve">Script aderente alle slide esistenti e al notebook della demo, senza modificare il deck</w:t>
      </w:r>
    </w:p>
    <w:p w14:paraId="00100004" w14:textId="00100005">
      <w:pPr>
        <w:spacing w:after="120"/>
      </w:pPr>
      <w:r>
        <w:rPr>
          <w:rFonts w:ascii="Calibri" w:hAnsi="Calibri" w:eastAsia="Calibri"/>
          <w:b/>
          <w:sz w:val="22"/>
        </w:rPr>
        <w:t xml:space="preserve">Uso consigliato: 25 minuti totali — 6-7 minuti di introduzione, 10 minuti di demo live, 3 minuti di takeaways, 5 minuti finali di Q&amp;A live.</w:t>
      </w:r>
    </w:p>
    <w:p w14:paraId="00100006" w14:textId="00100007">
      <w:pPr>
        <w:spacing w:after="320" w:line="276" w:lineRule="auto"/>
      </w:pPr>
      <w:r>
        <w:rPr>
          <w:rFonts w:ascii="Calibri" w:hAnsi="Calibri" w:eastAsia="Calibri"/>
          <w:sz w:val="22"/>
        </w:rPr>
        <w:t xml:space="preserve">Nota di conduzione: le slide restano in inglese, ma la voce del relatore è in italiano. Quando citi i blocchi del workflow — dataset, experiments, evaluation, Langfuse — trattali come nomi dei componenti del processo.</w:t>
      </w:r>
    </w:p>
    <w:p w14:paraId="00100016" w14:textId="00100017">
      <w:pPr>
        <w:pStyle w:val="TOCHeading"/>
      </w:pPr>
      <w:r>
        <w:t>Indice</w:t>
      </w:r>
    </w:p>
    <w:p w14:paraId="00100094" w14:textId="00100095">
      <w:pPr>
        <w:numPr>
          <w:ilvl w:val="0"/>
          <w:numId w:val="2"/>
        </w:numPr>
        <w:spacing w:after="40"/>
      </w:pPr>
      <w:r>
        <w:rPr>
          <w:rFonts w:ascii="Calibri" w:hAnsi="Calibri" w:eastAsia="Calibri"/>
          <w:sz w:val="22"/>
        </w:rPr>
        <w:t xml:space="preserve">Obiettivo della sessione</w:t>
      </w:r>
    </w:p>
    <w:p w14:paraId="00100096" w14:textId="00100097">
      <w:pPr>
        <w:numPr>
          <w:ilvl w:val="0"/>
          <w:numId w:val="3"/>
        </w:numPr>
        <w:spacing w:after="40"/>
      </w:pPr>
      <w:r>
        <w:rPr>
          <w:rFonts w:ascii="Calibri" w:hAnsi="Calibri" w:eastAsia="Calibri"/>
          <w:sz w:val="22"/>
        </w:rPr>
        <w:t xml:space="preserve">Struttura temporale</w:t>
      </w:r>
    </w:p>
    <w:p w14:paraId="00100098" w14:textId="00100099">
      <w:pPr>
        <w:numPr>
          <w:ilvl w:val="0"/>
          <w:numId w:val="4"/>
        </w:numPr>
        <w:spacing w:after="40"/>
      </w:pPr>
      <w:r>
        <w:rPr>
          <w:rFonts w:ascii="Calibri" w:hAnsi="Calibri" w:eastAsia="Calibri"/>
          <w:sz w:val="22"/>
        </w:rPr>
        <w:t xml:space="preserve">Copione slide per slide — introduzione</w:t>
      </w:r>
    </w:p>
    <w:p w14:paraId="0010009A" w14:textId="0010009B">
      <w:pPr>
        <w:numPr>
          <w:ilvl w:val="0"/>
          <w:numId w:val="5"/>
        </w:numPr>
        <w:spacing w:after="40"/>
      </w:pPr>
      <w:r>
        <w:rPr>
          <w:rFonts w:ascii="Calibri" w:hAnsi="Calibri" w:eastAsia="Calibri"/>
          <w:sz w:val="22"/>
        </w:rPr>
        <w:t xml:space="preserve">Demo live — cosa dire nel notebook</w:t>
      </w:r>
    </w:p>
    <w:p w14:paraId="0010009C" w14:textId="0010009D">
      <w:pPr>
        <w:numPr>
          <w:ilvl w:val="0"/>
          <w:numId w:val="6"/>
        </w:numPr>
        <w:spacing w:after="120"/>
      </w:pPr>
      <w:r>
        <w:rPr>
          <w:rFonts w:ascii="Calibri" w:hAnsi="Calibri" w:eastAsia="Calibri"/>
          <w:sz w:val="22"/>
        </w:rPr>
        <w:t xml:space="preserve">Rientro sulle slide finali e Q&amp;A</w:t>
      </w:r>
    </w:p>
    <w:p w14:paraId="00100008" w14:textId="00100009">
      <w:pPr>
        <w:pStyle w:val="Heading1"/>
        <w:pageBreakBefore/>
        <w:spacing w:before="360" w:after="160"/>
      </w:pPr>
      <w:r>
        <w:rPr>
          <w:rFonts w:ascii="Cambria" w:hAnsi="Cambria" w:eastAsia="Cambria"/>
          <w:b/>
          <w:sz w:val="40"/>
        </w:rPr>
        <w:t xml:space="preserve">Obiettivo della sessione</w:t>
      </w:r>
    </w:p>
    <w:p w14:paraId="0010000A" w14:textId="0010000B">
      <w:pPr>
        <w:spacing w:after="160" w:line="276" w:lineRule="auto"/>
      </w:pPr>
      <w:r>
        <w:rPr>
          <w:rFonts w:ascii="Calibri" w:hAnsi="Calibri" w:eastAsia="Calibri"/>
          <w:sz w:val="22"/>
        </w:rPr>
        <w:t xml:space="preserve">L’obiettivo non è far vedere un tool in astratto, ma dimostrare come Open Arena renda la valutazione di modelli e agenti ripetibile, confrontabile e difendibile. La sessione deve lasciare al pubblico l’idea che il vero valore non è la singola risposta del modello, ma il fatto che workload, configurazione, tracce ed evaluation siano osservabili e riutilizzabili.</w:t>
      </w:r>
    </w:p>
    <w:p w14:paraId="0010000C" w14:textId="0010000D">
      <w:pPr>
        <w:pStyle w:val="Heading1"/>
        <w:spacing w:before="360" w:after="160"/>
      </w:pPr>
      <w:r>
        <w:rPr>
          <w:rFonts w:ascii="Cambria" w:hAnsi="Cambria" w:eastAsia="Cambria"/>
          <w:b/>
          <w:sz w:val="40"/>
        </w:rPr>
        <w:t xml:space="preserve">Struttura temporale</w:t>
      </w:r>
    </w:p>
    <w:p w14:paraId="0010000E" w14:textId="0010000F">
      <w:pPr>
        <w:numPr>
          <w:ilvl w:val="0"/>
          <w:numId w:val="1"/>
        </w:numPr>
        <w:spacing w:after="60"/>
      </w:pPr>
      <w:r>
        <w:rPr>
          <w:rFonts w:ascii="Calibri" w:hAnsi="Calibri" w:eastAsia="Calibri"/>
          <w:sz w:val="22"/>
        </w:rPr>
        <w:t xml:space="preserve">0:00-6:30 — introduzione con le slide 1-13, per spiegare il problema, il loop AI Ops e il ruolo di Open Arena.</w:t>
      </w:r>
    </w:p>
    <w:p w14:paraId="00100010" w14:textId="00100011">
      <w:pPr>
        <w:numPr>
          <w:ilvl w:val="0"/>
          <w:numId w:val="1"/>
        </w:numPr>
        <w:spacing w:after="60"/>
      </w:pPr>
      <w:r>
        <w:rPr>
          <w:rFonts w:ascii="Calibri" w:hAnsi="Calibri" w:eastAsia="Calibri"/>
          <w:sz w:val="22"/>
        </w:rPr>
        <w:t xml:space="preserve">6:30-16:30 — demo live sul notebook, usando una missione realistica come filo conduttore.</w:t>
      </w:r>
    </w:p>
    <w:p w14:paraId="00100012" w14:textId="00100013">
      <w:pPr>
        <w:numPr>
          <w:ilvl w:val="0"/>
          <w:numId w:val="1"/>
        </w:numPr>
        <w:spacing w:after="60"/>
      </w:pPr>
      <w:r>
        <w:rPr>
          <w:rFonts w:ascii="Calibri" w:hAnsi="Calibri" w:eastAsia="Calibri"/>
          <w:sz w:val="22"/>
        </w:rPr>
        <w:t xml:space="preserve">16:30-19:30 — rientro sulle slide finali per fissare i takeaways.</w:t>
      </w:r>
    </w:p>
    <w:p w14:paraId="00100014" w14:textId="00100015">
      <w:pPr>
        <w:numPr>
          <w:ilvl w:val="0"/>
          <w:numId w:val="1"/>
        </w:numPr>
        <w:spacing w:after="160"/>
      </w:pPr>
      <w:r>
        <w:rPr>
          <w:rFonts w:ascii="Calibri" w:hAnsi="Calibri" w:eastAsia="Calibri"/>
          <w:sz w:val="22"/>
        </w:rPr>
        <w:t xml:space="preserve">19:30-25:00 — Q&amp;A live, senza script rigido ma con una chiusura ordinata.</w:t>
      </w:r>
    </w:p>
    <w:p w14:paraId="0010001A" w14:textId="0010001B">
      <w:pPr>
        <w:pStyle w:val="Heading1"/>
        <w:pageBreakBefore/>
        <w:spacing w:before="360" w:after="160"/>
      </w:pPr>
      <w:r>
        <w:rPr>
          <w:rFonts w:ascii="Cambria" w:hAnsi="Cambria" w:eastAsia="Cambria"/>
          <w:b/>
          <w:sz w:val="40"/>
        </w:rPr>
        <w:t xml:space="preserve">Copione slide per slide — introduzione</w:t>
      </w:r>
    </w:p>
    <w:p w14:paraId="0010001C" w14:textId="0010001D">
      <w:pPr>
        <w:pStyle w:val="Heading2"/>
        <w:spacing w:before="200" w:after="120"/>
      </w:pPr>
      <w:r>
        <w:rPr>
          <w:rFonts w:ascii="Cambria" w:hAnsi="Cambria" w:eastAsia="Cambria"/>
          <w:b/>
          <w:sz w:val="28"/>
        </w:rPr>
        <w:t xml:space="preserve">Slide 1 — “Evaluate and Pick the Right LLM for Agents”</w:t>
      </w:r>
    </w:p>
    <w:p w14:paraId="0010001E" w14:textId="0010001F">
      <w:pPr>
        <w:spacing w:after="160" w:line="276" w:lineRule="auto"/>
      </w:pPr>
      <w:r>
        <w:rPr>
          <w:rFonts w:ascii="Calibri" w:hAnsi="Calibri" w:eastAsia="Calibri"/>
          <w:sz w:val="22"/>
        </w:rPr>
        <w:t xml:space="preserve">Cosa dire: “Buongiorno a tutti. Oggi non voglio mostrarvi solo un benchmark o una comparazione tra modelli. Voglio mostrarvi come rendere la scelta di un LLM o di un agente qualcosa di meno intuitivo e più operativo: cioè confrontabile, ripetibile e giustificabile.”</w:t>
      </w:r>
    </w:p>
    <w:p w14:paraId="00100020" w14:textId="00100021">
      <w:pPr>
        <w:pStyle w:val="Heading2"/>
        <w:spacing w:before="200" w:after="120"/>
      </w:pPr>
      <w:r>
        <w:rPr>
          <w:rFonts w:ascii="Cambria" w:hAnsi="Cambria" w:eastAsia="Cambria"/>
          <w:b/>
          <w:sz w:val="28"/>
        </w:rPr>
        <w:t xml:space="preserve">Slide 2 — “INTRODUCTION”</w:t>
      </w:r>
    </w:p>
    <w:p w14:paraId="00100022" w14:textId="00100023">
      <w:pPr>
        <w:spacing w:after="160" w:line="276" w:lineRule="auto"/>
      </w:pPr>
      <w:r>
        <w:rPr>
          <w:rFonts w:ascii="Calibri" w:hAnsi="Calibri" w:eastAsia="Calibri"/>
          <w:sz w:val="22"/>
        </w:rPr>
        <w:t xml:space="preserve">Cosa dire: “La prima parte serve a mettere a fuoco il problema: perché le decisioni su modelli e agenti sono ancora troppo ad hoc. Poi vedremo il loop AI Ops in forma minima, come Open Arena lo implementa in pratica, e infine una demo live che mostra cosa significa rendere queste decisioni osservabili.”</w:t>
      </w:r>
    </w:p>
    <w:p w14:paraId="00100024" w14:textId="00100025">
      <w:pPr>
        <w:pStyle w:val="Heading2"/>
        <w:spacing w:before="200" w:after="120"/>
      </w:pPr>
      <w:r>
        <w:rPr>
          <w:rFonts w:ascii="Cambria" w:hAnsi="Cambria" w:eastAsia="Cambria"/>
          <w:b/>
          <w:sz w:val="28"/>
        </w:rPr>
        <w:t xml:space="preserve">Slide 3 — “WHY MODEL AND AGENT DECISIONS ARE STILL TOO AD HOC”</w:t>
      </w:r>
    </w:p>
    <w:p w14:paraId="00100026" w14:textId="00100027">
      <w:pPr>
        <w:spacing w:after="160" w:line="276" w:lineRule="auto"/>
      </w:pPr>
      <w:r>
        <w:rPr>
          <w:rFonts w:ascii="Calibri" w:hAnsi="Calibri" w:eastAsia="Calibri"/>
          <w:sz w:val="22"/>
        </w:rPr>
        <w:t xml:space="preserve">Cosa dire: “Qui il punto è semplice: spesso i team confrontano i modelli su pochi prompt scelti a mano, annotano impressioni in notebook o chat, e separano qualità, costo e latenza in momenti diversi. Il risultato è che si accumula intuizione, ma non evidenza. La frase chiave da lasciare qui è: non è solo un problema di modello, è un problema operativo.”</w:t>
      </w:r>
    </w:p>
    <w:p w14:paraId="00100028" w14:textId="00100029">
      <w:pPr>
        <w:pStyle w:val="Heading2"/>
        <w:spacing w:before="200" w:after="120"/>
      </w:pPr>
      <w:r>
        <w:rPr>
          <w:rFonts w:ascii="Cambria" w:hAnsi="Cambria" w:eastAsia="Cambria"/>
          <w:b/>
          <w:sz w:val="28"/>
        </w:rPr>
        <w:t xml:space="preserve">Slide 4 — “What AI Ops Means in This Context”</w:t>
      </w:r>
    </w:p>
    <w:p w14:paraId="0010002A" w14:textId="0010002B">
      <w:pPr>
        <w:spacing w:after="160" w:line="276" w:lineRule="auto"/>
      </w:pPr>
      <w:r>
        <w:rPr>
          <w:rFonts w:ascii="Calibri" w:hAnsi="Calibri" w:eastAsia="Calibri"/>
          <w:sz w:val="22"/>
        </w:rPr>
        <w:t xml:space="preserve">Cosa dire: “Quando qui diciamo AI Ops, non stiamo parlando di un layer astratto di governance. Stiamo parlando di operazionalizzare la valutazione: usare workload rappresentativi, definire gli esperimenti in modo esplicito, eseguire i confronti nelle stesse condizioni, catturare le trace, definire prima i criteri di evaluation e arrivare a decisioni basate su evidenza.”</w:t>
      </w:r>
    </w:p>
    <w:p w14:paraId="0010002C" w14:textId="0010002D">
      <w:pPr>
        <w:pStyle w:val="Heading2"/>
        <w:spacing w:before="200" w:after="120"/>
      </w:pPr>
      <w:r>
        <w:rPr>
          <w:rFonts w:ascii="Cambria" w:hAnsi="Cambria" w:eastAsia="Cambria"/>
          <w:b/>
          <w:sz w:val="28"/>
        </w:rPr>
        <w:t xml:space="preserve">Slide 5 — “A MINIMAL AI OPS LOOP FOR LLM SYSTEMS”</w:t>
      </w:r>
    </w:p>
    <w:p w14:paraId="0010002E" w14:textId="0010002F">
      <w:pPr>
        <w:spacing w:after="160" w:line="276" w:lineRule="auto"/>
      </w:pPr>
      <w:r>
        <w:rPr>
          <w:rFonts w:ascii="Calibri" w:hAnsi="Calibri" w:eastAsia="Calibri"/>
          <w:sz w:val="22"/>
        </w:rPr>
        <w:t xml:space="preserve">Cosa dire: “Questa slide comprime il loop in quattro blocchi: workload, experiment definition, execution ed evaluation. Il messaggio da dare è che ogni blocco produce un artefatto concreto. Non stiamo chiedendo una piattaforma monolitica: stiamo chiedendo disciplina leggera ma coerente.”</w:t>
      </w:r>
    </w:p>
    <w:p w14:paraId="00100030" w14:textId="00100031">
      <w:pPr>
        <w:pStyle w:val="Heading2"/>
        <w:spacing w:before="200" w:after="120"/>
      </w:pPr>
      <w:r>
        <w:rPr>
          <w:rFonts w:ascii="Cambria" w:hAnsi="Cambria" w:eastAsia="Cambria"/>
          <w:b/>
          <w:sz w:val="28"/>
        </w:rPr>
        <w:t xml:space="preserve">Slide 6 — “What Must Stop Living Only in People’s Heads”</w:t>
      </w:r>
    </w:p>
    <w:p w14:paraId="00100032" w14:textId="00100033">
      <w:pPr>
        <w:spacing w:after="160" w:line="276" w:lineRule="auto"/>
      </w:pPr>
      <w:r>
        <w:rPr>
          <w:rFonts w:ascii="Calibri" w:hAnsi="Calibri" w:eastAsia="Calibri"/>
          <w:sz w:val="22"/>
        </w:rPr>
        <w:t xml:space="preserve">Cosa dire: “Il salto di maturità avviene quando dataset, configurazione, trace, score, metadata e rationale non restano nella testa di chi ha fatto il test. Diventano artefatti condivisibili e rileggibili. È qui che una scelta tecnica smette di essere personale e diventa una decisione di team.”</w:t>
      </w:r>
    </w:p>
    <w:p w14:paraId="00100034" w14:textId="00100035">
      <w:pPr>
        <w:pStyle w:val="Heading2"/>
        <w:spacing w:before="200" w:after="120"/>
      </w:pPr>
      <w:r>
        <w:rPr>
          <w:rFonts w:ascii="Cambria" w:hAnsi="Cambria" w:eastAsia="Cambria"/>
          <w:b/>
          <w:sz w:val="28"/>
        </w:rPr>
        <w:t xml:space="preserve">Slide 7 — “How We Implement This Loop in Practice”</w:t>
      </w:r>
    </w:p>
    <w:p w14:paraId="00100036" w14:textId="00100037">
      <w:pPr>
        <w:spacing w:after="160" w:line="276" w:lineRule="auto"/>
      </w:pPr>
      <w:r>
        <w:rPr>
          <w:rFonts w:ascii="Calibri" w:hAnsi="Calibri" w:eastAsia="Calibri"/>
          <w:sz w:val="22"/>
        </w:rPr>
        <w:t xml:space="preserve">Cosa dire: “Qui introduco Open Arena come implementazione concreta del loop. La cosa importante non è solo che esegua più varianti, ma che lo faccia a partire da un file di config leggibile, su uno stesso workload, con trace e score persistiti. La frase di transizione è: adesso passiamo dall’operating model al sistema reale.”</w:t>
      </w:r>
    </w:p>
    <w:p w14:paraId="00100038" w14:textId="00100039">
      <w:pPr>
        <w:pStyle w:val="Heading2"/>
        <w:spacing w:before="200" w:after="120"/>
      </w:pPr>
      <w:r>
        <w:rPr>
          <w:rFonts w:ascii="Cambria" w:hAnsi="Cambria" w:eastAsia="Cambria"/>
          <w:b/>
          <w:sz w:val="28"/>
        </w:rPr>
        <w:t xml:space="preserve">Slide 8 — “What the Live Run Made Visible”</w:t>
      </w:r>
    </w:p>
    <w:p w14:paraId="0010003A" w14:textId="0010003B">
      <w:pPr>
        <w:spacing w:after="160" w:line="276" w:lineRule="auto"/>
      </w:pPr>
      <w:r>
        <w:rPr>
          <w:rFonts w:ascii="Calibri" w:hAnsi="Calibri" w:eastAsia="Calibri"/>
          <w:sz w:val="22"/>
        </w:rPr>
        <w:t xml:space="preserve">Cosa dire: “Questa slide anticipa quello che vogliamo rendere visibile nella demo: workload esplicito, config revisionabile, run confrontabili, comportamento ispezionabile e decisione difendibile. Il messaggio da rimarcare è che il punto non è fare un tool walkthrough, ma mostrare una prova operativa.”</w:t>
      </w:r>
    </w:p>
    <w:p w14:paraId="0010003C" w14:textId="0010003D">
      <w:pPr>
        <w:pStyle w:val="Heading2"/>
        <w:spacing w:before="200" w:after="120"/>
      </w:pPr>
      <w:r>
        <w:rPr>
          <w:rFonts w:ascii="Cambria" w:hAnsi="Cambria" w:eastAsia="Cambria"/>
          <w:b/>
          <w:sz w:val="28"/>
        </w:rPr>
        <w:t xml:space="preserve">Slide 9 — “What Teams Should Operationalize First”</w:t>
      </w:r>
    </w:p>
    <w:p w14:paraId="0010003E" w14:textId="0010003F">
      <w:pPr>
        <w:spacing w:after="160" w:line="276" w:lineRule="auto"/>
      </w:pPr>
      <w:r>
        <w:rPr>
          <w:rFonts w:ascii="Calibri" w:hAnsi="Calibri" w:eastAsia="Calibri"/>
          <w:sz w:val="22"/>
        </w:rPr>
        <w:t xml:space="preserve">Cosa dire: “Se il pubblico deve portarsi via una priorità, è questa: cominciare dal workload rappresentativo. Poi rendere esplicita la configurazione, assicurare la ripetibilità dei run, catturare trace e metadata, definire i criteri di evaluation prima di guardare i risultati, e documentare il trade-off finale.”</w:t>
      </w:r>
    </w:p>
    <w:p w14:paraId="00100040" w14:textId="00100041">
      <w:pPr>
        <w:pStyle w:val="Heading2"/>
        <w:spacing w:before="200" w:after="120"/>
      </w:pPr>
      <w:r>
        <w:rPr>
          <w:rFonts w:ascii="Cambria" w:hAnsi="Cambria" w:eastAsia="Cambria"/>
          <w:b/>
          <w:sz w:val="28"/>
        </w:rPr>
        <w:t xml:space="preserve">Slide 10 — “AI Ops Is How AI Experimentation Becomes Decision Discipline”</w:t>
      </w:r>
    </w:p>
    <w:p w14:paraId="00100042" w14:textId="00100043">
      <w:pPr>
        <w:spacing w:after="160" w:line="276" w:lineRule="auto"/>
      </w:pPr>
      <w:r>
        <w:rPr>
          <w:rFonts w:ascii="Calibri" w:hAnsi="Calibri" w:eastAsia="Calibri"/>
          <w:sz w:val="22"/>
        </w:rPr>
        <w:t xml:space="preserve">Cosa dire: “Questa è la slide da chiudere con più forza. Potete dire: la vera differenza non è passare da un modello a un altro, ma passare da sperimentazione impressionistica a decision discipline. Stesso workload, stesse condizioni, stessa evidenza a supporto della scelta.”</w:t>
      </w:r>
    </w:p>
    <w:p w14:paraId="00100044" w14:textId="00100045">
      <w:pPr>
        <w:pStyle w:val="Heading2"/>
        <w:spacing w:before="200" w:after="120"/>
      </w:pPr>
      <w:r>
        <w:rPr>
          <w:rFonts w:ascii="Cambria" w:hAnsi="Cambria" w:eastAsia="Cambria"/>
          <w:b/>
          <w:sz w:val="28"/>
        </w:rPr>
        <w:t xml:space="preserve">Slide 11 — “Open Arena: Simple, Reproducible Evaluation for LLMs”</w:t>
      </w:r>
    </w:p>
    <w:p w14:paraId="00100046" w14:textId="00100047">
      <w:pPr>
        <w:spacing w:after="160" w:line="276" w:lineRule="auto"/>
      </w:pPr>
      <w:r>
        <w:rPr>
          <w:rFonts w:ascii="Calibri" w:hAnsi="Calibri" w:eastAsia="Calibri"/>
          <w:sz w:val="22"/>
        </w:rPr>
        <w:t xml:space="preserve">Cosa dire: “Qui semplificate il messaggio. Open Arena è un framework leggero per confrontare modelli, modalità di reasoning e workflow agentici con strumenti. La stack technology non va raccontata come una lista di librerie: va raccontata come ciò che rende possibile accesso unificato ai modelli, orchestrazione del run e osservabilità completa.”</w:t>
      </w:r>
    </w:p>
    <w:p w14:paraId="00100048" w14:textId="00100049">
      <w:pPr>
        <w:pStyle w:val="Heading2"/>
        <w:spacing w:before="200" w:after="120"/>
      </w:pPr>
      <w:r>
        <w:rPr>
          <w:rFonts w:ascii="Cambria" w:hAnsi="Cambria" w:eastAsia="Cambria"/>
          <w:b/>
          <w:sz w:val="28"/>
        </w:rPr>
        <w:t xml:space="preserve">Slide 12 — “How It Works: Evaluation Pipeline”</w:t>
      </w:r>
    </w:p>
    <w:p w14:paraId="0010004A" w14:textId="0010004B">
      <w:pPr>
        <w:spacing w:after="160" w:line="276" w:lineRule="auto"/>
      </w:pPr>
      <w:r>
        <w:rPr>
          <w:rFonts w:ascii="Calibri" w:hAnsi="Calibri" w:eastAsia="Calibri"/>
          <w:sz w:val="22"/>
        </w:rPr>
        <w:t xml:space="preserve">Cosa dire: “Questa è la slide che vi permette di fissare il mental model più semplice di tutta la sessione: dataset → experiments → execution → evaluation → Langfuse. Se il pubblico capisce questo, capisce tutta la demo. Non insistete sui dettagli implementativi: insistete sul fatto che la fairness deriva dal riutilizzare lo stesso dataset e lo stesso evaluator sulle varianti.”</w:t>
      </w:r>
    </w:p>
    <w:p w14:paraId="0010004C" w14:textId="0010004D">
      <w:pPr>
        <w:pStyle w:val="Heading2"/>
        <w:spacing w:before="200" w:after="120"/>
      </w:pPr>
      <w:r>
        <w:rPr>
          <w:rFonts w:ascii="Cambria" w:hAnsi="Cambria" w:eastAsia="Cambria"/>
          <w:b/>
          <w:sz w:val="28"/>
        </w:rPr>
        <w:t xml:space="preserve">Slide 13 — “Mini Demo: Multi-Model Comparison”</w:t>
      </w:r>
    </w:p>
    <w:p w14:paraId="0010004E" w14:textId="0010004F">
      <w:pPr>
        <w:spacing w:after="160" w:line="276" w:lineRule="auto"/>
      </w:pPr>
      <w:r>
        <w:rPr>
          <w:rFonts w:ascii="Calibri" w:hAnsi="Calibri" w:eastAsia="Calibri"/>
          <w:sz w:val="22"/>
        </w:rPr>
        <w:t xml:space="preserve">Cosa dire: “Qui è utile chiarire una cosa importante: nella slide vedete un esempio sintetico con semantica QA, utile per far capire la forma della config. Nel notebook che mostriamo tra un attimo, però, usiamo la stessa logica operativa su un workload diverso: non un support assistant, ma un constrained research agent che trasforma una missione in un report con fonti.”</w:t>
      </w:r>
    </w:p>
    <w:p w14:paraId="00100050" w14:textId="00100051">
      <w:pPr>
        <w:pStyle w:val="Heading2"/>
        <w:spacing w:before="200" w:after="120"/>
      </w:pPr>
      <w:r>
        <w:rPr>
          <w:rFonts w:ascii="Cambria" w:hAnsi="Cambria" w:eastAsia="Cambria"/>
          <w:b/>
          <w:sz w:val="28"/>
        </w:rPr>
        <w:t xml:space="preserve">Slide 14 — “Demo”</w:t>
      </w:r>
    </w:p>
    <w:p w14:paraId="00100052" w14:textId="00100053">
      <w:pPr>
        <w:spacing w:after="160" w:line="276" w:lineRule="auto"/>
      </w:pPr>
      <w:r>
        <w:rPr>
          <w:rFonts w:ascii="Calibri" w:hAnsi="Calibri" w:eastAsia="Calibri"/>
          <w:sz w:val="22"/>
        </w:rPr>
        <w:t xml:space="preserve">Cosa dire: “Adesso entriamo nella parte live. Vi mostro un esempio più realistico: una missione di ricerca con dominio, finestra temporale, allowed domains, focus semantico e formato di output atteso. Il punto non è far vedere che il modello sa rispondere: il punto è far vedere che il workflow sa valutare se l’agente ha lavorato entro i vincoli giusti.”</w:t>
      </w:r>
    </w:p>
    <w:p w14:paraId="00100054" w14:textId="00100055">
      <w:pPr>
        <w:pStyle w:val="Heading1"/>
        <w:pageBreakBefore/>
        <w:spacing w:before="360" w:after="160"/>
      </w:pPr>
      <w:r>
        <w:rPr>
          <w:rFonts w:ascii="Cambria" w:hAnsi="Cambria" w:eastAsia="Cambria"/>
          <w:b/>
          <w:sz w:val="40"/>
        </w:rPr>
        <w:t xml:space="preserve">Demo live — cosa dire nel notebook</w:t>
      </w:r>
    </w:p>
    <w:p w14:paraId="00100056" w14:textId="00100057">
      <w:pPr>
        <w:spacing w:after="160" w:line="276" w:lineRule="auto"/>
      </w:pPr>
      <w:r>
        <w:rPr>
          <w:rFonts w:ascii="Calibri" w:hAnsi="Calibri" w:eastAsia="Calibri"/>
          <w:sz w:val="22"/>
        </w:rPr>
        <w:t xml:space="preserve">In questa parte non basta aprire il notebook: va raccontato come estensione naturale delle slide. Ogni passaggio deve far vedere un pezzo del workflow e legarlo allo stesso hero mission.</w:t>
      </w:r>
    </w:p>
    <w:p w14:paraId="00100058" w14:textId="00100059">
      <w:pPr>
        <w:pStyle w:val="Heading2"/>
        <w:spacing w:before="200" w:after="120"/>
      </w:pPr>
      <w:r>
        <w:rPr>
          <w:rFonts w:ascii="Cambria" w:hAnsi="Cambria" w:eastAsia="Cambria"/>
          <w:b/>
          <w:sz w:val="28"/>
        </w:rPr>
        <w:t xml:space="preserve">Notebook — apertura</w:t>
      </w:r>
    </w:p>
    <w:p w14:paraId="0010005A" w14:textId="0010005B">
      <w:pPr>
        <w:spacing w:after="160" w:line="276" w:lineRule="auto"/>
      </w:pPr>
      <w:r>
        <w:rPr>
          <w:rFonts w:ascii="Calibri" w:hAnsi="Calibri" w:eastAsia="Calibri"/>
          <w:sz w:val="22"/>
        </w:rPr>
        <w:t xml:space="preserve">Cosa dire: “Il notebook che vedete non è una demo generica di Q&amp;A. È un walkthrough rapido di come Open Arena possa valutare un agente di ricerca vincolata, cioè un agente che parte da una missione e arriva a un report strutturato con fonti.”</w:t>
      </w:r>
    </w:p>
    <w:p w14:paraId="0010005C" w14:textId="0010005D">
      <w:pPr>
        <w:pStyle w:val="Heading2"/>
        <w:spacing w:before="200" w:after="120"/>
      </w:pPr>
      <w:r>
        <w:rPr>
          <w:rFonts w:ascii="Cambria" w:hAnsi="Cambria" w:eastAsia="Cambria"/>
          <w:b/>
          <w:sz w:val="28"/>
        </w:rPr>
        <w:t xml:space="preserve">Notebook — sezione ‘Why realistic mission-based evaluation matters’</w:t>
      </w:r>
    </w:p>
    <w:p w14:paraId="0010005E" w14:textId="0010005F">
      <w:pPr>
        <w:spacing w:after="160" w:line="276" w:lineRule="auto"/>
      </w:pPr>
      <w:r>
        <w:rPr>
          <w:rFonts w:ascii="Calibri" w:hAnsi="Calibri" w:eastAsia="Calibri"/>
          <w:sz w:val="22"/>
        </w:rPr>
        <w:t xml:space="preserve">Cosa dire: “Per un agente di ricerca, valutare con due o tre prompt generici non basta. La domanda giusta è: il sistema è rimasto nel dominio richiesto? Ha rispettato le fonti consentite? Ha rispettato la finestra temporale? Ha prodotto un output utile per decidere? È per questo che qui usiamo missioni realistiche e non FAQ.”</w:t>
      </w:r>
    </w:p>
    <w:p w14:paraId="00100060" w14:textId="00100061">
      <w:pPr>
        <w:pStyle w:val="Heading2"/>
        <w:spacing w:before="200" w:after="120"/>
      </w:pPr>
      <w:r>
        <w:rPr>
          <w:rFonts w:ascii="Cambria" w:hAnsi="Cambria" w:eastAsia="Cambria"/>
          <w:b/>
          <w:sz w:val="28"/>
        </w:rPr>
        <w:t xml:space="preserve">Notebook — sezione ‘dataset → experiments → evaluation → Langfuse’</w:t>
      </w:r>
    </w:p>
    <w:p w14:paraId="00100062" w14:textId="00100063">
      <w:pPr>
        <w:spacing w:after="160" w:line="276" w:lineRule="auto"/>
      </w:pPr>
      <w:r>
        <w:rPr>
          <w:rFonts w:ascii="Calibri" w:hAnsi="Calibri" w:eastAsia="Calibri"/>
          <w:sz w:val="22"/>
        </w:rPr>
        <w:t xml:space="preserve">Cosa dire: “Il notebook ripropone lo stesso modello mentale delle slide: dataset, esperimenti, evaluation e osservabilità in Langfuse. Questo è utile perché fa vedere che non stiamo cambiando storia quando passiamo dalle slide al live: stiamo solo entrando dentro gli stessi blocchi.”</w:t>
      </w:r>
    </w:p>
    <w:p w14:paraId="00100064" w14:textId="00100065">
      <w:pPr>
        <w:pStyle w:val="Heading2"/>
        <w:spacing w:before="200" w:after="120"/>
      </w:pPr>
      <w:r>
        <w:rPr>
          <w:rFonts w:ascii="Cambria" w:hAnsi="Cambria" w:eastAsia="Cambria"/>
          <w:b/>
          <w:sz w:val="28"/>
        </w:rPr>
        <w:t xml:space="preserve">Notebook — preview del dataset</w:t>
      </w:r>
    </w:p>
    <w:p w14:paraId="00100066" w14:textId="00100067">
      <w:pPr>
        <w:spacing w:after="160" w:line="276" w:lineRule="auto"/>
      </w:pPr>
      <w:r>
        <w:rPr>
          <w:rFonts w:ascii="Calibri" w:hAnsi="Calibri" w:eastAsia="Calibri"/>
          <w:sz w:val="22"/>
        </w:rPr>
        <w:t xml:space="preserve">Cosa dire: “Qui faccio vedere che il dataset non contiene domande isolate, ma missioni. Ogni riga ha un mission title, un research domain, una time window, gli allowed domains, un focus semantico, un output type e un’audience. Questo è il workload reale su cui poi confronto le varianti.”</w:t>
      </w:r>
    </w:p>
    <w:p w14:paraId="00100068" w14:textId="00100069">
      <w:pPr>
        <w:pStyle w:val="Heading2"/>
        <w:spacing w:before="200" w:after="120"/>
      </w:pPr>
      <w:r>
        <w:rPr>
          <w:rFonts w:ascii="Cambria" w:hAnsi="Cambria" w:eastAsia="Cambria"/>
          <w:b/>
          <w:sz w:val="28"/>
        </w:rPr>
        <w:t xml:space="preserve">Notebook — walkthrough della config YAML</w:t>
      </w:r>
    </w:p>
    <w:p w14:paraId="0010006A" w14:textId="0010006B">
      <w:pPr>
        <w:spacing w:after="160" w:line="276" w:lineRule="auto"/>
      </w:pPr>
      <w:r>
        <w:rPr>
          <w:rFonts w:ascii="Calibri" w:hAnsi="Calibri" w:eastAsia="Calibri"/>
          <w:sz w:val="22"/>
        </w:rPr>
        <w:t xml:space="preserve">Cosa dire: “Nella config faccio vedere il punto fondamentale: Open Arena prende la riga del dataset e la rende un mission brief leggibile. È qui che diventano espliciti il titolo della missione, il dominio, il topic cluster, la finestra temporale, gli allowed domains, il focus semantics, il tipo di output e l’audience. Il messaggio da passare è che la disciplina è scritta nella config, non nella memoria del relatore.”</w:t>
      </w:r>
    </w:p>
    <w:p w14:paraId="0010006C" w14:textId="0010006D">
      <w:pPr>
        <w:pStyle w:val="Heading2"/>
        <w:spacing w:before="200" w:after="120"/>
      </w:pPr>
      <w:r>
        <w:rPr>
          <w:rFonts w:ascii="Cambria" w:hAnsi="Cambria" w:eastAsia="Cambria"/>
          <w:b/>
          <w:sz w:val="28"/>
        </w:rPr>
        <w:t xml:space="preserve">Notebook — runtime, evaluator e Langfuse</w:t>
      </w:r>
    </w:p>
    <w:p w14:paraId="0010006E" w14:textId="0010006F">
      <w:pPr>
        <w:spacing w:after="160" w:line="276" w:lineRule="auto"/>
      </w:pPr>
      <w:r>
        <w:rPr>
          <w:rFonts w:ascii="Calibri" w:hAnsi="Calibri" w:eastAsia="Calibri"/>
          <w:sz w:val="22"/>
        </w:rPr>
        <w:t xml:space="preserve">Cosa dire: “Qui spiego cosa succede a runtime: si carica il dataset, si eseguono gli experiment sulle stesse missioni, si valuta il risultato con un llm-as-judge e si persistono trace e score in Langfuse. La cosa importante non è la magia del run, ma il fatto che tutto sia confrontabile e ispezionabile.”</w:t>
      </w:r>
    </w:p>
    <w:p w14:paraId="00100070" w14:textId="00100071">
      <w:pPr>
        <w:pStyle w:val="Heading2"/>
        <w:spacing w:before="200" w:after="120"/>
      </w:pPr>
      <w:r>
        <w:rPr>
          <w:rFonts w:ascii="Cambria" w:hAnsi="Cambria" w:eastAsia="Cambria"/>
          <w:b/>
          <w:sz w:val="28"/>
        </w:rPr>
        <w:t xml:space="preserve">Notebook — hero mission</w:t>
      </w:r>
    </w:p>
    <w:p w14:paraId="00100072" w14:textId="00100073">
      <w:pPr>
        <w:spacing w:after="160" w:line="276" w:lineRule="auto"/>
      </w:pPr>
      <w:r>
        <w:rPr>
          <w:rFonts w:ascii="Calibri" w:hAnsi="Calibri" w:eastAsia="Calibri"/>
          <w:sz w:val="22"/>
        </w:rPr>
        <w:t xml:space="preserve">Cosa dire: “A questo punto fermatevi su una sola missione. Fatela leggere come brief operativo: titolo, dominio, date, allowed domains, focus semantics, tipo di report. Poi dite chiaramente: qui non stiamo chiedendo al modello di essere brillante in generale; gli stiamo chiedendo di restare dentro vincoli precisi e di sintetizzare bene.”</w:t>
      </w:r>
    </w:p>
    <w:p w14:paraId="00100074" w14:textId="00100075">
      <w:pPr>
        <w:pStyle w:val="Heading2"/>
        <w:spacing w:before="200" w:after="120"/>
      </w:pPr>
      <w:r>
        <w:rPr>
          <w:rFonts w:ascii="Cambria" w:hAnsi="Cambria" w:eastAsia="Cambria"/>
          <w:b/>
          <w:sz w:val="28"/>
        </w:rPr>
        <w:t xml:space="preserve">Notebook — struttura del report finale atteso</w:t>
      </w:r>
    </w:p>
    <w:p w14:paraId="00100076" w14:textId="00100077">
      <w:pPr>
        <w:spacing w:after="160" w:line="276" w:lineRule="auto"/>
      </w:pPr>
      <w:r>
        <w:rPr>
          <w:rFonts w:ascii="Calibri" w:hAnsi="Calibri" w:eastAsia="Calibri"/>
          <w:sz w:val="22"/>
        </w:rPr>
        <w:t xml:space="preserve">Cosa dire: “Chiudo il notebook spiegando come deve apparire un buon output: executive summary, segnali forti, implicazioni pratiche, eventuali incertezze e una sezione finale di fonti. Questa è la parte che aiuta il pubblico a capire che non stiamo valutando una risposta simpatica, ma un deliverable utile.”</w:t>
      </w:r>
    </w:p>
    <w:p w14:paraId="00100078" w14:textId="00100079">
      <w:pPr>
        <w:pStyle w:val="Heading2"/>
        <w:spacing w:before="200" w:after="120"/>
      </w:pPr>
      <w:r>
        <w:rPr>
          <w:rFonts w:ascii="Cambria" w:hAnsi="Cambria" w:eastAsia="Cambria"/>
          <w:b/>
          <w:sz w:val="28"/>
        </w:rPr>
        <w:t xml:space="preserve">Transizione di rientro alle slide</w:t>
      </w:r>
    </w:p>
    <w:p w14:paraId="0010007A" w14:textId="0010007B">
      <w:pPr>
        <w:spacing w:after="160" w:line="276" w:lineRule="auto"/>
      </w:pPr>
      <w:r>
        <w:rPr>
          <w:rFonts w:ascii="Calibri" w:hAnsi="Calibri" w:eastAsia="Calibri"/>
          <w:sz w:val="22"/>
        </w:rPr>
        <w:t xml:space="preserve">Cosa dire: “Quello che abbiamo visto nel notebook è esattamente il punto della sessione: un workload realistico, una config esplicita, run confrontabili, evaluation leggibile e trace osservabili. Adesso torno alle slide finali per fissare i messaggi da portarci via.”</w:t>
      </w:r>
    </w:p>
    <w:p w14:paraId="0010007C" w14:textId="0010007D">
      <w:pPr>
        <w:pStyle w:val="Heading1"/>
        <w:pageBreakBefore/>
        <w:spacing w:before="360" w:after="160"/>
      </w:pPr>
      <w:r>
        <w:rPr>
          <w:rFonts w:ascii="Cambria" w:hAnsi="Cambria" w:eastAsia="Cambria"/>
          <w:b/>
          <w:sz w:val="40"/>
        </w:rPr>
        <w:t xml:space="preserve">Rientro sulle slide finali</w:t>
      </w:r>
    </w:p>
    <w:p w14:paraId="0010007E" w14:textId="0010007F">
      <w:pPr>
        <w:pStyle w:val="Heading2"/>
        <w:spacing w:before="200" w:after="120"/>
      </w:pPr>
      <w:r>
        <w:rPr>
          <w:rFonts w:ascii="Cambria" w:hAnsi="Cambria" w:eastAsia="Cambria"/>
          <w:b/>
          <w:sz w:val="28"/>
        </w:rPr>
        <w:t xml:space="preserve">Slide 15 — “Key Takeways”</w:t>
      </w:r>
    </w:p>
    <w:p w14:paraId="00100080" w14:textId="00100081">
      <w:pPr>
        <w:spacing w:after="160" w:line="276" w:lineRule="auto"/>
      </w:pPr>
      <w:r>
        <w:rPr>
          <w:rFonts w:ascii="Calibri" w:hAnsi="Calibri" w:eastAsia="Calibri"/>
          <w:sz w:val="22"/>
        </w:rPr>
        <w:t xml:space="preserve">Cosa dire: “Questa slide la uso come ponte. Dopo la demo, qui non serve aggiungere concetti nuovi: serve far capire che adesso stiamo consolidando il messaggio. Quello che avete visto non è un caso isolato, ma un modo di lavorare.”</w:t>
      </w:r>
    </w:p>
    <w:p w14:paraId="00100082" w14:textId="00100083">
      <w:pPr>
        <w:pStyle w:val="Heading2"/>
        <w:spacing w:before="200" w:after="120"/>
      </w:pPr>
      <w:r>
        <w:rPr>
          <w:rFonts w:ascii="Cambria" w:hAnsi="Cambria" w:eastAsia="Cambria"/>
          <w:b/>
          <w:sz w:val="28"/>
        </w:rPr>
        <w:t xml:space="preserve">Slide 16 — “Key Takeaways”</w:t>
      </w:r>
    </w:p>
    <w:p w14:paraId="00100084" w14:textId="00100085">
      <w:pPr>
        <w:spacing w:after="160" w:line="276" w:lineRule="auto"/>
      </w:pPr>
      <w:r>
        <w:rPr>
          <w:rFonts w:ascii="Calibri" w:hAnsi="Calibri" w:eastAsia="Calibri"/>
          <w:sz w:val="22"/>
        </w:rPr>
        <w:t xml:space="preserve">Cosa dire: “Qui i tre messaggi da lasciare sono questi. Primo: bisogna valutare su dati realistici, non su intuizione. Secondo: bisogna confrontare varianti diverse nelle stesse condizioni. Terzo: trace, score e rationale non sono un extra, sono l’evidenza che rende difendibile la decisione.”</w:t>
      </w:r>
    </w:p>
    <w:p w14:paraId="00100086" w14:textId="00100087">
      <w:pPr>
        <w:pStyle w:val="Heading2"/>
        <w:spacing w:before="200" w:after="120"/>
      </w:pPr>
      <w:r>
        <w:rPr>
          <w:rFonts w:ascii="Cambria" w:hAnsi="Cambria" w:eastAsia="Cambria"/>
          <w:b/>
          <w:sz w:val="28"/>
        </w:rPr>
        <w:t xml:space="preserve">Slide 17 — “Choose Based on Data. Not Impressions.”</w:t>
      </w:r>
    </w:p>
    <w:p w14:paraId="00100088" w14:textId="00100089">
      <w:pPr>
        <w:spacing w:after="160" w:line="276" w:lineRule="auto"/>
      </w:pPr>
      <w:r>
        <w:rPr>
          <w:rFonts w:ascii="Calibri" w:hAnsi="Calibri" w:eastAsia="Calibri"/>
          <w:sz w:val="22"/>
        </w:rPr>
        <w:t xml:space="preserve">Cosa dire: “Questa è la chiusura più netta della presentazione. Potete dirlo quasi come una tagline finale: scegliete sulla base dei dati, non delle impressioni. Open Arena è open source, ma soprattutto incarna un modo di lavorare che qualsiasi team può adottare in forma progressiva.”</w:t>
      </w:r>
    </w:p>
    <w:p w14:paraId="0010008A" w14:textId="0010008B">
      <w:pPr>
        <w:pStyle w:val="Heading2"/>
        <w:spacing w:before="200" w:after="120"/>
      </w:pPr>
      <w:r>
        <w:rPr>
          <w:rFonts w:ascii="Cambria" w:hAnsi="Cambria" w:eastAsia="Cambria"/>
          <w:b/>
          <w:sz w:val="28"/>
        </w:rPr>
        <w:t xml:space="preserve">Slide 18 — “Q&amp;A”</w:t>
      </w:r>
    </w:p>
    <w:p w14:paraId="0010008C" w14:textId="0010008D">
      <w:pPr>
        <w:spacing w:after="160" w:line="276" w:lineRule="auto"/>
      </w:pPr>
      <w:r>
        <w:rPr>
          <w:rFonts w:ascii="Calibri" w:hAnsi="Calibri" w:eastAsia="Calibri"/>
          <w:sz w:val="22"/>
        </w:rPr>
        <w:t xml:space="preserve">Cosa dire: “Chiudiamo qui la parte preparata. Adesso apriamo i cinque minuti finali di domande live. Se volete, possiamo approfondire il tema del workload, dell’evaluator, delle trace in Langfuse oppure di come adattare questo workflow ai vostri casi d’uso.”</w:t>
      </w:r>
    </w:p>
    <w:p w14:paraId="0010008E" w14:textId="0010008F">
      <w:pPr>
        <w:pStyle w:val="Heading2"/>
        <w:spacing w:before="200" w:after="120"/>
      </w:pPr>
      <w:r>
        <w:rPr>
          <w:rFonts w:ascii="Cambria" w:hAnsi="Cambria" w:eastAsia="Cambria"/>
          <w:b/>
          <w:sz w:val="28"/>
        </w:rPr>
        <w:t xml:space="preserve">Temi probabili per il Q&amp;A</w:t>
      </w:r>
    </w:p>
    <w:p w14:paraId="00100090" w14:textId="00100091">
      <w:pPr>
        <w:spacing w:after="160" w:line="276" w:lineRule="auto"/>
      </w:pPr>
      <w:r>
        <w:rPr>
          <w:rFonts w:ascii="Calibri" w:hAnsi="Calibri" w:eastAsia="Calibri"/>
          <w:sz w:val="22"/>
        </w:rPr>
        <w:t xml:space="preserve">Temi attesi: quanto deve essere grande un workload per essere rappresentativo, come scegliere l’evaluator, come bilanciare qualità-latenza-costo, come usare trace e score per motivare una decisione di team, e come passare da un benchmark di modelli a una valutazione di agenti con strumenti.</w:t>
      </w:r>
    </w:p>
    <w:sectPr>
      <w:footerReference xmlns:r="http://schemas.openxmlformats.org/officeDocument/2006/relationships" w:type="default" r:id="R55f86d7052b4471e"/>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092" w14:textId="00100093">
    <w:pPr>
      <w:jc w:val="center"/>
    </w:pPr>
    <w:r>
      <w:rPr>
        <w:rFonts w:ascii="Calibri" w:hAnsi="Calibri" w:eastAsia="Calibri"/>
        <w:color w:val="666666"/>
        <w:sz w:val="18"/>
      </w:rPr>
      <w:fldChar w:fldCharType="begin"/>
    </w:r>
    <w:r>
      <w:rPr>
        <w:rFonts w:ascii="Calibri" w:hAnsi="Calibri" w:eastAsia="Calibri"/>
        <w:color w:val="666666"/>
        <w:sz w:val="18"/>
      </w:rPr>
      <w:instrText xml:space="preserve"> PAGE </w:instrText>
    </w:r>
    <w:r>
      <w:rPr>
        <w:rFonts w:ascii="Calibri" w:hAnsi="Calibri" w:eastAsia="Calibri"/>
        <w:color w:val="666666"/>
        <w:sz w:val="18"/>
      </w:rPr>
      <w:fldChar w:fldCharType="separate"/>
    </w:r>
    <w:r>
      <w:rPr>
        <w:rFonts w:ascii="Calibri" w:hAnsi="Calibri" w:eastAsia="Calibri"/>
        <w:color w:val="666666"/>
        <w:sz w:val="18"/>
      </w:rPr>
      <w:t xml:space="preserve">1</w:t>
    </w:r>
    <w:r>
      <w:rPr>
        <w:rFonts w:ascii="Calibri" w:hAnsi="Calibri" w:eastAsia="Calibri"/>
        <w:color w:val="666666"/>
        <w:sz w:val="18"/>
      </w:rPr>
      <w:fldChar w:fldCharType="end"/>
    </w:r>
  </w:p>
</w:ft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doNotFlipMirrorIndents" w:uri="http://schemas.microsoft.com/office/word" w:val="1"/>
  </w:compat>
</w:settings>
</file>

<file path=word/styles.xml><?xml version="1.0" encoding="utf-8"?>
<w:styles xmlns:w="http://schemas.openxmlformats.org/wordprocessingml/2006/main">
  <w:docDefaults>
    <w:rPrDefault>
      <w:rPr>
        <w:rFonts w:ascii="Times New Roman" w:hAnsi="Times New Roman"/>
      </w:rPr>
    </w:rPrDefault>
    <w:pPrDefault/>
  </w:docDefaults>
</w:styles>
</file>

<file path=word/_rels/document.xml.rels>&#65279;<?xml version="1.0" encoding="utf-8"?><Relationships xmlns="http://schemas.openxmlformats.org/package/2006/relationships"><Relationship Type="http://schemas.openxmlformats.org/officeDocument/2006/relationships/settings" Target="/word/settings.xml" Id="Ree51cdb7b5de4eb3" /><Relationship Type="http://schemas.openxmlformats.org/officeDocument/2006/relationships/styles" Target="/word/styles.xml" Id="Refaed2fd84cf4270" /><Relationship Type="http://schemas.openxmlformats.org/officeDocument/2006/relationships/numbering" Target="/word/numbering.xml" Id="R0295e9b3f8164844" /><Relationship Type="http://schemas.openxmlformats.org/officeDocument/2006/relationships/footer" Target="/word/footer1.xml" Id="R55f86d7052b4471e" /></Relationships>
</file>

<file path=docProps/app.xml><?xml version="1.0" encoding="utf-8"?>
<ap:Properties xmlns:ap="http://schemas.openxmlformats.org/officeDocument/2006/extended-properties">
  <ap:Application>OfficeCLI/1.0.73</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2026-05-06T18:39:33Z</dcterms:created>
  <cp:lastModifiedBy>OfficeCLI</cp:lastModifiedBy>
  <dcterms:modified xsi:type="dcterms:W3CDTF">2026-05-06T18:39:33Z</dcterms:modified>
</cp:coreProperties>
</file>