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4af2e2e4620e4dca" /><Relationship Type="http://schemas.openxmlformats.org/package/2006/relationships/metadata/core-properties" Target="/docProps/core.xml" Id="Rb87763070aab4e0e" /><Relationship Type="http://schemas.openxmlformats.org/officeDocument/2006/relationships/extended-properties" Target="/docProps/app.xml" Id="Rcd3c82d73de64725" /></Relationships>
</file>

<file path=word/document.xml><?xml version="1.0" encoding="utf-8"?>
<w:document xmlns:w="http://schemas.openxmlformats.org/wordprocessingml/2006/main" xmlns:mc="http://schemas.openxmlformats.org/markup-compatibility/2006" xmlns:w14="http://schemas.microsoft.com/office/word/2010/wordml" mc:Ignorable="w14">
  <w:body>
    <w:p w14:paraId="00100000" w14:textId="00100001">
      <w:pPr>
        <w:pStyle w:val="Heading1"/>
        <w:spacing w:after="240"/>
      </w:pPr>
      <w:r>
        <w:rPr>
          <w:rFonts w:ascii="Cambria" w:hAnsi="Cambria" w:eastAsia="Cambria"/>
          <w:b/>
          <w:sz w:val="48"/>
        </w:rPr>
        <w:t xml:space="preserve">Open Arena Show Me How — Speaker Script</w:t>
      </w:r>
    </w:p>
    <w:p w14:paraId="00100002" w14:textId="00100003">
      <w:pPr>
        <w:spacing w:after="360"/>
      </w:pPr>
      <w:r>
        <w:rPr>
          <w:rFonts w:ascii="Calibri" w:hAnsi="Calibri" w:eastAsia="Calibri"/>
          <w:i/>
          <w:color w:val="666666"/>
          <w:sz w:val="24"/>
        </w:rPr>
        <w:t xml:space="preserve">25-minute presenter runbook for the XChange session</w:t>
      </w:r>
    </w:p>
    <w:p w14:paraId="00100004" w14:textId="00100005">
      <w:pPr>
        <w:spacing w:after="120"/>
      </w:pPr>
      <w:r>
        <w:rPr>
          <w:rFonts w:ascii="Calibri" w:hAnsi="Calibri" w:eastAsia="Calibri"/>
          <w:b/>
          <w:sz w:val="22"/>
        </w:rPr>
        <w:t xml:space="preserve">Prepared for XChange 2026 | Open Arena show-me-how session</w:t>
      </w:r>
    </w:p>
    <w:p w14:paraId="00100006" w14:textId="00100007">
      <w:pPr>
        <w:spacing w:after="120"/>
      </w:pPr>
      <w:r>
        <w:rPr>
          <w:rFonts w:ascii="Calibri" w:hAnsi="Calibri" w:eastAsia="Calibri"/>
          <w:sz w:val="22"/>
        </w:rPr>
        <w:t xml:space="preserve">Session structure: 6–7 min introduction • 10 min live demo • 3 min takeaways • 5 min Q&amp;A</w:t>
      </w:r>
    </w:p>
    <w:p w14:paraId="00100008" w14:textId="00100009">
      <w:pPr>
        <w:spacing w:after="360"/>
      </w:pPr>
      <w:r>
        <w:rPr>
          <w:rFonts w:ascii="Calibri" w:hAnsi="Calibri" w:eastAsia="Calibri"/>
          <w:sz w:val="22"/>
        </w:rPr>
        <w:t xml:space="preserve">Core story: Open Arena turns model and agent evaluation into a lightweight, reproducible workflow grounded in real workloads, comparable experiments, explicit evaluation, and observable traces.</w:t>
      </w:r>
    </w:p>
    <w:p w14:paraId="0010001A" w14:textId="0010001B">
      <w:pPr>
        <w:pStyle w:val="TOCHeading"/>
      </w:pPr>
      <w:r>
        <w:t>Contents</w:t>
      </w:r>
    </w:p>
    <w:p w14:paraId="0010001C" w14:textId="0010001D">
      <w:r>
        <w:fldChar w:fldCharType="begin"/>
      </w:r>
      <w:r>
        <w:instrText xml:space="preserve"> TOC \o "1-2" \h \u </w:instrText>
      </w:r>
      <w:r>
        <w:fldChar w:fldCharType="separate"/>
      </w:r>
      <w:r>
        <w:t xml:space="preserve">Update field to see table of contents</w:t>
      </w:r>
      <w:r>
        <w:fldChar w:fldCharType="end"/>
      </w:r>
    </w:p>
    <w:p w14:paraId="0010000A" w14:textId="0010000B">
      <w:pPr>
        <w:pStyle w:val="Heading1"/>
        <w:pageBreakBefore/>
        <w:spacing w:before="360" w:after="160"/>
      </w:pPr>
      <w:r>
        <w:rPr>
          <w:rFonts w:ascii="Cambria" w:hAnsi="Cambria" w:eastAsia="Cambria"/>
          <w:b/>
          <w:sz w:val="40"/>
        </w:rPr>
        <w:t xml:space="preserve">Session objective</w:t>
      </w:r>
    </w:p>
    <w:p w14:paraId="0010000C" w14:textId="0010000D">
      <w:pPr>
        <w:spacing w:after="160" w:line="276" w:lineRule="auto"/>
      </w:pPr>
      <w:r>
        <w:rPr>
          <w:rFonts w:ascii="Calibri" w:hAnsi="Calibri" w:eastAsia="Calibri"/>
          <w:sz w:val="22"/>
        </w:rPr>
        <w:t xml:space="preserve">Show how Open Arena turns model and agent evaluation into a reproducible operational workflow by comparing realistic agent workloads under the same conditions and making the resulting evidence reviewable.</w:t>
      </w:r>
    </w:p>
    <w:p w14:paraId="0010000E" w14:textId="0010000F">
      <w:pPr>
        <w:pStyle w:val="Heading2"/>
        <w:spacing w:before="200" w:after="120"/>
      </w:pPr>
      <w:r>
        <w:rPr>
          <w:rFonts w:ascii="Cambria" w:hAnsi="Cambria" w:eastAsia="Cambria"/>
          <w:b/>
          <w:sz w:val="28"/>
        </w:rPr>
        <w:t xml:space="preserve">Audience framing</w:t>
      </w:r>
    </w:p>
    <w:p w14:paraId="00100010" w14:textId="00100011">
      <w:pPr>
        <w:spacing w:after="160" w:line="276" w:lineRule="auto"/>
      </w:pPr>
      <w:r>
        <w:rPr>
          <w:rFonts w:ascii="Calibri" w:hAnsi="Calibri" w:eastAsia="Calibri"/>
          <w:sz w:val="22"/>
        </w:rPr>
        <w:t xml:space="preserve">The audience is mixed: business stakeholders need to understand why realistic evaluation matters, technical teammates need to see how the workflow is wired, and SME reviewers need confidence that the resulting report is scoped, defensible, and useful.</w:t>
      </w:r>
    </w:p>
    <w:p w14:paraId="00100012" w14:textId="00100013">
      <w:pPr>
        <w:pStyle w:val="Heading2"/>
        <w:spacing w:before="200" w:after="120"/>
      </w:pPr>
      <w:r>
        <w:rPr>
          <w:rFonts w:ascii="Cambria" w:hAnsi="Cambria" w:eastAsia="Cambria"/>
          <w:b/>
          <w:sz w:val="28"/>
        </w:rPr>
        <w:t xml:space="preserve">Presenter operating model</w:t>
      </w:r>
    </w:p>
    <w:p w14:paraId="00100014" w14:textId="00100015">
      <w:pPr>
        <w:numPr>
          <w:ilvl w:val="0"/>
          <w:numId w:val="1"/>
        </w:numPr>
        <w:spacing w:after="60"/>
      </w:pPr>
      <w:r>
        <w:rPr>
          <w:rFonts w:ascii="Calibri" w:hAnsi="Calibri" w:eastAsia="Calibri"/>
          <w:sz w:val="22"/>
        </w:rPr>
        <w:t xml:space="preserve">Stay business-first and use one hero mission from beginning to end.</w:t>
      </w:r>
    </w:p>
    <w:p w14:paraId="00100016" w14:textId="00100017">
      <w:pPr>
        <w:numPr>
          <w:ilvl w:val="0"/>
          <w:numId w:val="1"/>
        </w:numPr>
        <w:spacing w:after="60"/>
      </w:pPr>
      <w:r>
        <w:rPr>
          <w:rFonts w:ascii="Calibri" w:hAnsi="Calibri" w:eastAsia="Calibri"/>
          <w:sz w:val="22"/>
        </w:rPr>
        <w:t xml:space="preserve">Treat workload, config, traces, and scores as first-class evidence rather than background implementation detail.</w:t>
      </w:r>
    </w:p>
    <w:p w14:paraId="00100018" w14:textId="00100019">
      <w:pPr>
        <w:numPr>
          <w:ilvl w:val="0"/>
          <w:numId w:val="1"/>
        </w:numPr>
        <w:spacing w:after="160"/>
      </w:pPr>
      <w:r>
        <w:rPr>
          <w:rFonts w:ascii="Calibri" w:hAnsi="Calibri" w:eastAsia="Calibri"/>
          <w:sz w:val="22"/>
        </w:rPr>
        <w:t xml:space="preserve">If time slips, cut detail rather than the operational message: realistic workload, same conditions, visible traces, explicit evaluation, defensible choice.</w:t>
      </w:r>
    </w:p>
    <w:p w14:paraId="0010001E" w14:textId="0010001F">
      <w:pPr>
        <w:pStyle w:val="Heading1"/>
        <w:spacing w:before="360" w:after="160"/>
      </w:pPr>
      <w:r>
        <w:rPr>
          <w:rFonts w:ascii="Cambria" w:hAnsi="Cambria" w:eastAsia="Cambria"/>
          <w:b/>
          <w:sz w:val="40"/>
        </w:rPr>
        <w:t xml:space="preserve">Minute-by-minute flow</w:t>
      </w:r>
    </w:p>
    <w:p w14:paraId="00100020" w14:textId="00100021">
      <w:pPr>
        <w:numPr>
          <w:ilvl w:val="0"/>
          <w:numId w:val="2"/>
        </w:numPr>
        <w:spacing w:after="60"/>
      </w:pPr>
      <w:r>
        <w:rPr>
          <w:rFonts w:ascii="Calibri" w:hAnsi="Calibri" w:eastAsia="Calibri"/>
          <w:sz w:val="22"/>
        </w:rPr>
        <w:t xml:space="preserve">0:00-1:00 — Opening: frame the problem, explain why model and agent decisions are still too ad hoc, and tell the audience the session is about decision discipline rather than a tool tour.</w:t>
      </w:r>
    </w:p>
    <w:p w14:paraId="00100022" w14:textId="00100023">
      <w:pPr>
        <w:numPr>
          <w:ilvl w:val="0"/>
          <w:numId w:val="2"/>
        </w:numPr>
        <w:spacing w:after="60"/>
      </w:pPr>
      <w:r>
        <w:rPr>
          <w:rFonts w:ascii="Calibri" w:hAnsi="Calibri" w:eastAsia="Calibri"/>
          <w:sz w:val="22"/>
        </w:rPr>
        <w:t xml:space="preserve">1:00-6:30 — Introduction through slides 1-13: AI Ops loop, the artifacts that matter, the role of Open Arena, and what the live run makes visible.</w:t>
      </w:r>
    </w:p>
    <w:p w14:paraId="00100024" w14:textId="00100025">
      <w:pPr>
        <w:numPr>
          <w:ilvl w:val="0"/>
          <w:numId w:val="2"/>
        </w:numPr>
        <w:spacing w:after="60"/>
      </w:pPr>
      <w:r>
        <w:rPr>
          <w:rFonts w:ascii="Calibri" w:hAnsi="Calibri" w:eastAsia="Calibri"/>
          <w:sz w:val="22"/>
        </w:rPr>
        <w:t xml:space="preserve">6:30-16:30 — Live demo: hero mission, dataset row, YAML config, runtime path, evaluator, and Langfuse visibility.</w:t>
      </w:r>
    </w:p>
    <w:p w14:paraId="00100026" w14:textId="00100027">
      <w:pPr>
        <w:numPr>
          <w:ilvl w:val="0"/>
          <w:numId w:val="2"/>
        </w:numPr>
        <w:spacing w:after="60"/>
      </w:pPr>
      <w:r>
        <w:rPr>
          <w:rFonts w:ascii="Calibri" w:hAnsi="Calibri" w:eastAsia="Calibri"/>
          <w:sz w:val="22"/>
        </w:rPr>
        <w:t xml:space="preserve">16:30-19:30 — Takeaways: evaluate on realistic workload, compare variants under the same conditions, and treat traces plus scores as operational evidence.</w:t>
      </w:r>
    </w:p>
    <w:p w14:paraId="00100028" w14:textId="00100029">
      <w:pPr>
        <w:numPr>
          <w:ilvl w:val="0"/>
          <w:numId w:val="2"/>
        </w:numPr>
        <w:spacing w:after="160"/>
      </w:pPr>
      <w:r>
        <w:rPr>
          <w:rFonts w:ascii="Calibri" w:hAnsi="Calibri" w:eastAsia="Calibri"/>
          <w:sz w:val="22"/>
        </w:rPr>
        <w:t xml:space="preserve">19:30-25:00 — Live, unscripted Q&amp;A.</w:t>
      </w:r>
    </w:p>
    <w:p w14:paraId="0010002A" w14:textId="0010002B">
      <w:pPr>
        <w:pStyle w:val="Heading1"/>
        <w:spacing w:before="360" w:after="160"/>
      </w:pPr>
      <w:r>
        <w:rPr>
          <w:rFonts w:ascii="Cambria" w:hAnsi="Cambria" w:eastAsia="Cambria"/>
          <w:b/>
          <w:sz w:val="40"/>
        </w:rPr>
        <w:t xml:space="preserve">Slide-by-slide script for the introduction</w:t>
      </w:r>
    </w:p>
    <w:p w14:paraId="0010002C" w14:textId="0010002D">
      <w:pPr>
        <w:pStyle w:val="Heading2"/>
        <w:spacing w:before="200" w:after="120"/>
      </w:pPr>
      <w:r>
        <w:rPr>
          <w:rFonts w:ascii="Cambria" w:hAnsi="Cambria" w:eastAsia="Cambria"/>
          <w:b/>
          <w:sz w:val="28"/>
        </w:rPr>
        <w:t xml:space="preserve">Slides 1-2 — Opening and framing</w:t>
      </w:r>
    </w:p>
    <w:p w14:paraId="0010002E" w14:textId="0010002F">
      <w:pPr>
        <w:spacing w:after="160" w:line="276" w:lineRule="auto"/>
      </w:pPr>
      <w:r>
        <w:rPr>
          <w:rFonts w:ascii="Calibri" w:hAnsi="Calibri" w:eastAsia="Calibri"/>
          <w:sz w:val="22"/>
        </w:rPr>
        <w:t xml:space="preserve">Open with the title slide and ground the room immediately: ‘Today we are not trying to guess which LLM feels best. We are showing how to make model and agent choices comparable, reviewable, and defendable.’ Use slide 2 to preview the arc: why ad hoc evaluation breaks, what the AI Ops loop looks like, how Open Arena implements it, and what the demo will prove.</w:t>
      </w:r>
    </w:p>
    <w:p w14:paraId="00100030" w14:textId="00100031">
      <w:pPr>
        <w:pStyle w:val="Heading2"/>
        <w:spacing w:before="200" w:after="120"/>
      </w:pPr>
      <w:r>
        <w:rPr>
          <w:rFonts w:ascii="Cambria" w:hAnsi="Cambria" w:eastAsia="Cambria"/>
          <w:b/>
          <w:sz w:val="28"/>
        </w:rPr>
        <w:t xml:space="preserve">Slide 3 — Why decisions stay ad hoc</w:t>
      </w:r>
    </w:p>
    <w:p w14:paraId="00100032" w14:textId="00100033">
      <w:pPr>
        <w:spacing w:after="160" w:line="276" w:lineRule="auto"/>
      </w:pPr>
      <w:r>
        <w:rPr>
          <w:rFonts w:ascii="Calibri" w:hAnsi="Calibri" w:eastAsia="Calibri"/>
          <w:sz w:val="22"/>
        </w:rPr>
        <w:t xml:space="preserve">Use this slide to name the failure mode without blaming the audience: teams compare hand-picked prompts, capture results in disconnected places, and remember impressions instead of evidence. Land on the last sentence with emphasis: the problem is not only modeling quality — it is the absence of an operational evaluation loop.</w:t>
      </w:r>
    </w:p>
    <w:p w14:paraId="00100034" w14:textId="00100035">
      <w:pPr>
        <w:pStyle w:val="Heading2"/>
        <w:spacing w:before="200" w:after="120"/>
      </w:pPr>
      <w:r>
        <w:rPr>
          <w:rFonts w:ascii="Cambria" w:hAnsi="Cambria" w:eastAsia="Cambria"/>
          <w:b/>
          <w:sz w:val="28"/>
        </w:rPr>
        <w:t xml:space="preserve">Slides 4-6 — AI Ops loop and the artifacts that matter</w:t>
      </w:r>
    </w:p>
    <w:p w14:paraId="00100036" w14:textId="00100037">
      <w:pPr>
        <w:spacing w:after="160" w:line="276" w:lineRule="auto"/>
      </w:pPr>
      <w:r>
        <w:rPr>
          <w:rFonts w:ascii="Calibri" w:hAnsi="Calibri" w:eastAsia="Calibri"/>
          <w:sz w:val="22"/>
        </w:rPr>
        <w:t xml:space="preserve">Explain that AI Ops here means operationalizing evaluation. Move quickly across the six elements: representative workload, explicit experiment definition, comparable execution, systematic trace capture, explicit criteria, and evidence-based decisions. On slide 6, stress that operational maturity starts when workload, config, traces, scores, metadata, and decision rationale stop living only in people’s heads.</w:t>
      </w:r>
    </w:p>
    <w:p w14:paraId="00100038" w14:textId="00100039">
      <w:pPr>
        <w:pStyle w:val="Heading2"/>
        <w:spacing w:before="200" w:after="120"/>
      </w:pPr>
      <w:r>
        <w:rPr>
          <w:rFonts w:ascii="Cambria" w:hAnsi="Cambria" w:eastAsia="Cambria"/>
          <w:b/>
          <w:sz w:val="28"/>
        </w:rPr>
        <w:t xml:space="preserve">Slides 7-10 — Open Arena as operational discipline</w:t>
      </w:r>
    </w:p>
    <w:p w14:paraId="0010003A" w14:textId="0010003B">
      <w:pPr>
        <w:spacing w:after="160" w:line="276" w:lineRule="auto"/>
      </w:pPr>
      <w:r>
        <w:rPr>
          <w:rFonts w:ascii="Calibri" w:hAnsi="Calibri" w:eastAsia="Calibri"/>
          <w:sz w:val="22"/>
        </w:rPr>
        <w:t xml:space="preserve">Slide 7 is the pivot from concept to implementation: Open Arena is the lightweight workflow that makes the loop concrete. Slides 8 to 10 are where you translate features into management value: explicit workload, reviewable config, comparable runs, inspectable behavior, and a defensible choice. Keep repeating that the workflow is the discipline; the demo is just the proof point.</w:t>
      </w:r>
    </w:p>
    <w:p w14:paraId="0010003C" w14:textId="0010003D">
      <w:pPr>
        <w:pStyle w:val="Heading2"/>
        <w:spacing w:before="200" w:after="120"/>
      </w:pPr>
      <w:r>
        <w:rPr>
          <w:rFonts w:ascii="Cambria" w:hAnsi="Cambria" w:eastAsia="Cambria"/>
          <w:b/>
          <w:sz w:val="28"/>
        </w:rPr>
        <w:t xml:space="preserve">Slides 11-13 — Bridge from narrative to demo</w:t>
      </w:r>
    </w:p>
    <w:p w14:paraId="0010003E" w14:textId="0010003F">
      <w:pPr>
        <w:spacing w:after="160" w:line="276" w:lineRule="auto"/>
      </w:pPr>
      <w:r>
        <w:rPr>
          <w:rFonts w:ascii="Calibri" w:hAnsi="Calibri" w:eastAsia="Calibri"/>
          <w:sz w:val="22"/>
        </w:rPr>
        <w:t xml:space="preserve">Use these slides to simplify the repository into one mental model: dataset → experiments → evaluation → Langfuse. When you reach the demo bridge, make the key semantic update explicit: instead of a toy QA assistant, today’s workload is a constrained research agent that turns a mission into a structured report with cited sources.</w:t>
      </w:r>
    </w:p>
    <w:p w14:paraId="00100040" w14:textId="00100041">
      <w:pPr>
        <w:pStyle w:val="Heading1"/>
        <w:pageBreakBefore/>
        <w:spacing w:before="360" w:after="160"/>
      </w:pPr>
      <w:r>
        <w:rPr>
          <w:rFonts w:ascii="Cambria" w:hAnsi="Cambria" w:eastAsia="Cambria"/>
          <w:b/>
          <w:sz w:val="40"/>
        </w:rPr>
        <w:t xml:space="preserve">10-minute live demo choreography</w:t>
      </w:r>
    </w:p>
    <w:p w14:paraId="00100042" w14:textId="00100043">
      <w:pPr>
        <w:spacing w:after="160" w:line="276" w:lineRule="auto"/>
      </w:pPr>
      <w:r>
        <w:rPr>
          <w:rFonts w:ascii="Calibri" w:hAnsi="Calibri" w:eastAsia="Calibri"/>
          <w:sz w:val="22"/>
        </w:rPr>
        <w:t xml:space="preserve">Goal: show one realistic mission end-to-end so the audience can see how the dataset, config, execution path, evaluator, and Langfuse traces line up around the same unit of work.</w:t>
      </w:r>
    </w:p>
    <w:p w14:paraId="00100044" w14:textId="00100045">
      <w:pPr>
        <w:numPr>
          <w:ilvl w:val="0"/>
          <w:numId w:val="3"/>
        </w:numPr>
        <w:spacing w:after="60"/>
      </w:pPr>
      <w:r>
        <w:rPr>
          <w:rFonts w:ascii="Calibri" w:hAnsi="Calibri" w:eastAsia="Calibri"/>
          <w:sz w:val="22"/>
        </w:rPr>
        <w:t xml:space="preserve">Open the notebook title and explain that this is not a generic chatbot benchmark; it evaluates a constrained deep-research agent.</w:t>
      </w:r>
    </w:p>
    <w:p w14:paraId="00100046" w14:textId="00100047">
      <w:pPr>
        <w:numPr>
          <w:ilvl w:val="0"/>
          <w:numId w:val="3"/>
        </w:numPr>
        <w:spacing w:after="60"/>
      </w:pPr>
      <w:r>
        <w:rPr>
          <w:rFonts w:ascii="Calibri" w:hAnsi="Calibri" w:eastAsia="Calibri"/>
          <w:sz w:val="22"/>
        </w:rPr>
        <w:t xml:space="preserve">Run the dataset preview cell and show that each row is a mission with a topic, time window, allowed domains, focus semantics, output type, and audience.</w:t>
      </w:r>
    </w:p>
    <w:p w14:paraId="00100048" w14:textId="00100049">
      <w:pPr>
        <w:numPr>
          <w:ilvl w:val="0"/>
          <w:numId w:val="3"/>
        </w:numPr>
        <w:spacing w:after="60"/>
      </w:pPr>
      <w:r>
        <w:rPr>
          <w:rFonts w:ascii="Calibri" w:hAnsi="Calibri" w:eastAsia="Calibri"/>
          <w:sz w:val="22"/>
        </w:rPr>
        <w:t xml:space="preserve">Open the YAML config and explain how Open Arena renders the mission brief, compares experiments, and scores the resulting report.</w:t>
      </w:r>
    </w:p>
    <w:p w14:paraId="0010004A" w14:textId="0010004B">
      <w:pPr>
        <w:numPr>
          <w:ilvl w:val="0"/>
          <w:numId w:val="3"/>
        </w:numPr>
        <w:spacing w:after="60"/>
      </w:pPr>
      <w:r>
        <w:rPr>
          <w:rFonts w:ascii="Calibri" w:hAnsi="Calibri" w:eastAsia="Calibri"/>
          <w:sz w:val="22"/>
        </w:rPr>
        <w:t xml:space="preserve">Show the runtime and config parsing cells and explain the local model variants, evaluator, score name, and CLI command used to launch the run.</w:t>
      </w:r>
    </w:p>
    <w:p w14:paraId="0010004C" w14:textId="0010004D">
      <w:pPr>
        <w:numPr>
          <w:ilvl w:val="0"/>
          <w:numId w:val="3"/>
        </w:numPr>
        <w:spacing w:after="160"/>
      </w:pPr>
      <w:r>
        <w:rPr>
          <w:rFonts w:ascii="Calibri" w:hAnsi="Calibri" w:eastAsia="Calibri"/>
          <w:sz w:val="22"/>
        </w:rPr>
        <w:t xml:space="preserve">Open the hero mission cell and narrate the three hard constraints: stay inside the topic, stay inside the dates, and stay inside the allowed domains.</w:t>
      </w:r>
    </w:p>
    <w:p w14:paraId="0010004E" w14:textId="0010004F">
      <w:pPr>
        <w:numPr>
          <w:ilvl w:val="0"/>
          <w:numId w:val="3"/>
        </w:numPr>
        <w:spacing w:after="60"/>
      </w:pPr>
      <w:r>
        <w:rPr>
          <w:rFonts w:ascii="Calibri" w:hAnsi="Calibri" w:eastAsia="Calibri"/>
          <w:sz w:val="22"/>
        </w:rPr>
        <w:t xml:space="preserve">Explain what Langfuse should make visible for the same mission: one trace per experiment, readable metadata, evaluator output, and enough evidence to compare variants without relying on memory.</w:t>
      </w:r>
    </w:p>
    <w:p w14:paraId="00100050" w14:textId="00100051">
      <w:pPr>
        <w:numPr>
          <w:ilvl w:val="0"/>
          <w:numId w:val="3"/>
        </w:numPr>
        <w:spacing w:after="160"/>
      </w:pPr>
      <w:r>
        <w:rPr>
          <w:rFonts w:ascii="Calibri" w:hAnsi="Calibri" w:eastAsia="Calibri"/>
          <w:sz w:val="22"/>
        </w:rPr>
        <w:t xml:space="preserve">Close the demo on the target artifact: a structured report with executive summary, strongest signals, implications, explicit uncertainty, and a final sources section.</w:t>
      </w:r>
    </w:p>
    <w:p w14:paraId="00100052" w14:textId="00100053">
      <w:pPr>
        <w:pStyle w:val="Heading2"/>
        <w:spacing w:before="200" w:after="120"/>
      </w:pPr>
      <w:r>
        <w:rPr>
          <w:rFonts w:ascii="Cambria" w:hAnsi="Cambria" w:eastAsia="Cambria"/>
          <w:b/>
          <w:sz w:val="28"/>
        </w:rPr>
        <w:t xml:space="preserve">Exact operator cues</w:t>
      </w:r>
    </w:p>
    <w:p w14:paraId="00100054" w14:textId="00100055">
      <w:pPr>
        <w:numPr>
          <w:ilvl w:val="0"/>
          <w:numId w:val="4"/>
        </w:numPr>
        <w:spacing w:after="60"/>
      </w:pPr>
      <w:r>
        <w:rPr>
          <w:rFonts w:ascii="Calibri" w:hAnsi="Calibri" w:eastAsia="Calibri"/>
          <w:sz w:val="22"/>
        </w:rPr>
        <w:t xml:space="preserve">Keep one terminal ready at the repo root for `arena --config demo/show_me_how_open_arena/configs/business_qa_demo.yaml`.</w:t>
      </w:r>
    </w:p>
    <w:p w14:paraId="00100056" w14:textId="00100057">
      <w:pPr>
        <w:numPr>
          <w:ilvl w:val="0"/>
          <w:numId w:val="4"/>
        </w:numPr>
        <w:spacing w:after="60"/>
      </w:pPr>
      <w:r>
        <w:rPr>
          <w:rFonts w:ascii="Calibri" w:hAnsi="Calibri" w:eastAsia="Calibri"/>
          <w:sz w:val="22"/>
        </w:rPr>
        <w:t xml:space="preserve">If you need a safer dry run, use `arena --config demo/show_me_how_open_arena/configs/business_qa_demo.yaml --skip-upload` and explain that traces are omitted intentionally.</w:t>
      </w:r>
    </w:p>
    <w:p w14:paraId="00100058" w14:textId="00100059">
      <w:pPr>
        <w:numPr>
          <w:ilvl w:val="0"/>
          <w:numId w:val="4"/>
        </w:numPr>
        <w:spacing w:after="60"/>
      </w:pPr>
      <w:r>
        <w:rPr>
          <w:rFonts w:ascii="Calibri" w:hAnsi="Calibri" w:eastAsia="Calibri"/>
          <w:sz w:val="22"/>
        </w:rPr>
        <w:t xml:space="preserve">When the audience sees the YAML, point out `Mission title`, `Allowed domains`, `Time window`, and `expected_answer` immediately.</w:t>
      </w:r>
    </w:p>
    <w:p w14:paraId="0010005A" w14:textId="0010005B">
      <w:pPr>
        <w:numPr>
          <w:ilvl w:val="0"/>
          <w:numId w:val="4"/>
        </w:numPr>
        <w:spacing w:after="160"/>
      </w:pPr>
      <w:r>
        <w:rPr>
          <w:rFonts w:ascii="Calibri" w:hAnsi="Calibri" w:eastAsia="Calibri"/>
          <w:sz w:val="22"/>
        </w:rPr>
        <w:t xml:space="preserve">When the audience sees the notebook, stay on the hero mission rather than scrolling across many rows.</w:t>
      </w:r>
    </w:p>
    <w:p w14:paraId="0010005C" w14:textId="0010005D">
      <w:pPr>
        <w:pStyle w:val="Heading1"/>
        <w:spacing w:before="360" w:after="160"/>
      </w:pPr>
      <w:r>
        <w:rPr>
          <w:rFonts w:ascii="Cambria" w:hAnsi="Cambria" w:eastAsia="Cambria"/>
          <w:b/>
          <w:sz w:val="40"/>
        </w:rPr>
        <w:t xml:space="preserve">Fallback plan</w:t>
      </w:r>
    </w:p>
    <w:p w14:paraId="0010005E" w14:textId="0010005F">
      <w:pPr>
        <w:pStyle w:val="Heading2"/>
        <w:spacing w:before="200" w:after="120"/>
      </w:pPr>
      <w:r>
        <w:rPr>
          <w:rFonts w:ascii="Cambria" w:hAnsi="Cambria" w:eastAsia="Cambria"/>
          <w:b/>
          <w:sz w:val="28"/>
        </w:rPr>
        <w:t xml:space="preserve">If local models are slow or unavailable</w:t>
      </w:r>
    </w:p>
    <w:p w14:paraId="00100060" w14:textId="00100061">
      <w:pPr>
        <w:spacing w:after="160" w:line="276" w:lineRule="auto"/>
      </w:pPr>
      <w:r>
        <w:rPr>
          <w:rFonts w:ascii="Calibri" w:hAnsi="Calibri" w:eastAsia="Calibri"/>
          <w:sz w:val="22"/>
        </w:rPr>
        <w:t xml:space="preserve">Do not improvise fake live results. Keep the notebook and config visible, explain the mission and evaluation path, and narrate the expected output shape plus what the evaluator would score. The audience still sees the workflow and the discipline.</w:t>
      </w:r>
    </w:p>
    <w:p w14:paraId="00100062" w14:textId="00100063">
      <w:pPr>
        <w:pStyle w:val="Heading2"/>
        <w:spacing w:before="200" w:after="120"/>
      </w:pPr>
      <w:r>
        <w:rPr>
          <w:rFonts w:ascii="Cambria" w:hAnsi="Cambria" w:eastAsia="Cambria"/>
          <w:b/>
          <w:sz w:val="28"/>
        </w:rPr>
        <w:t xml:space="preserve">If Langfuse is unavailable</w:t>
      </w:r>
    </w:p>
    <w:p w14:paraId="00100064" w14:textId="00100065">
      <w:pPr>
        <w:spacing w:after="160" w:line="276" w:lineRule="auto"/>
      </w:pPr>
      <w:r>
        <w:rPr>
          <w:rFonts w:ascii="Calibri" w:hAnsi="Calibri" w:eastAsia="Calibri"/>
          <w:sz w:val="22"/>
        </w:rPr>
        <w:t xml:space="preserve">Keep the narrative operational. Explain that Langfuse is where the run becomes inspectable: traces, metadata, and evaluator scores. If it is down, describe exactly what the audience would compare once it is available rather than pretending the observability layer worked.</w:t>
      </w:r>
    </w:p>
    <w:p w14:paraId="00100066" w14:textId="00100067">
      <w:pPr>
        <w:pStyle w:val="Heading2"/>
        <w:spacing w:before="200" w:after="120"/>
      </w:pPr>
      <w:r>
        <w:rPr>
          <w:rFonts w:ascii="Cambria" w:hAnsi="Cambria" w:eastAsia="Cambria"/>
          <w:b/>
          <w:sz w:val="28"/>
        </w:rPr>
        <w:t xml:space="preserve">If notebook execution fails live</w:t>
      </w:r>
    </w:p>
    <w:p w14:paraId="00100068" w14:textId="00100069">
      <w:pPr>
        <w:spacing w:after="160" w:line="276" w:lineRule="auto"/>
      </w:pPr>
      <w:r>
        <w:rPr>
          <w:rFonts w:ascii="Calibri" w:hAnsi="Calibri" w:eastAsia="Calibri"/>
          <w:sz w:val="22"/>
        </w:rPr>
        <w:t xml:space="preserve">Use the notebook as a visual walkthrough instead of an executable asset. Scroll through the title, dataset preview, YAML, hero mission, and final-report sections and keep the story moving. The value is in the workload design and evaluation discipline, not in proving that every cell executed on stage.</w:t>
      </w:r>
    </w:p>
    <w:p w14:paraId="0010006A" w14:textId="0010006B">
      <w:pPr>
        <w:pStyle w:val="Heading2"/>
        <w:spacing w:before="200" w:after="120"/>
      </w:pPr>
      <w:r>
        <w:rPr>
          <w:rFonts w:ascii="Cambria" w:hAnsi="Cambria" w:eastAsia="Cambria"/>
          <w:b/>
          <w:sz w:val="28"/>
        </w:rPr>
        <w:t xml:space="preserve">If time runs short</w:t>
      </w:r>
    </w:p>
    <w:p w14:paraId="0010006C" w14:textId="0010006D">
      <w:pPr>
        <w:spacing w:after="160" w:line="276" w:lineRule="auto"/>
      </w:pPr>
      <w:r>
        <w:rPr>
          <w:rFonts w:ascii="Calibri" w:hAnsi="Calibri" w:eastAsia="Calibri"/>
          <w:sz w:val="22"/>
        </w:rPr>
        <w:t xml:space="preserve">Drop low-value detail, not the core chain. Keep only five beats: realistic mission, mission-based dataset, mission-brief YAML, comparable experiments, and observable evidence in Langfuse. Then move directly to the takeaways.</w:t>
      </w:r>
    </w:p>
    <w:p w14:paraId="0010006E" w14:textId="0010006F">
      <w:pPr>
        <w:pStyle w:val="Heading1"/>
        <w:spacing w:before="360" w:after="160"/>
      </w:pPr>
      <w:r>
        <w:rPr>
          <w:rFonts w:ascii="Cambria" w:hAnsi="Cambria" w:eastAsia="Cambria"/>
          <w:b/>
          <w:sz w:val="40"/>
        </w:rPr>
        <w:t xml:space="preserve">Takeaways and close</w:t>
      </w:r>
    </w:p>
    <w:p w14:paraId="00100070" w14:textId="00100071">
      <w:pPr>
        <w:numPr>
          <w:ilvl w:val="0"/>
          <w:numId w:val="5"/>
        </w:numPr>
        <w:spacing w:after="60"/>
      </w:pPr>
      <w:r>
        <w:rPr>
          <w:rFonts w:ascii="Calibri" w:hAnsi="Calibri" w:eastAsia="Calibri"/>
          <w:sz w:val="22"/>
        </w:rPr>
        <w:t xml:space="preserve">Evaluate on realistic workload, not intuition.</w:t>
      </w:r>
    </w:p>
    <w:p w14:paraId="00100072" w14:textId="00100073">
      <w:pPr>
        <w:numPr>
          <w:ilvl w:val="0"/>
          <w:numId w:val="5"/>
        </w:numPr>
        <w:spacing w:after="60"/>
      </w:pPr>
      <w:r>
        <w:rPr>
          <w:rFonts w:ascii="Calibri" w:hAnsi="Calibri" w:eastAsia="Calibri"/>
          <w:sz w:val="22"/>
        </w:rPr>
        <w:t xml:space="preserve">Compare variants under the same conditions and with the same evaluator.</w:t>
      </w:r>
    </w:p>
    <w:p w14:paraId="00100074" w14:textId="00100075">
      <w:pPr>
        <w:numPr>
          <w:ilvl w:val="0"/>
          <w:numId w:val="5"/>
        </w:numPr>
        <w:spacing w:after="160"/>
      </w:pPr>
      <w:r>
        <w:rPr>
          <w:rFonts w:ascii="Calibri" w:hAnsi="Calibri" w:eastAsia="Calibri"/>
          <w:sz w:val="22"/>
        </w:rPr>
        <w:t xml:space="preserve">Treat traces, scores, and decision rationale as operational evidence, not as optional extras.</w:t>
      </w:r>
    </w:p>
    <w:p w14:paraId="00100076" w14:textId="00100077">
      <w:pPr>
        <w:spacing w:after="160" w:line="276" w:lineRule="auto"/>
      </w:pPr>
      <w:r>
        <w:rPr>
          <w:rFonts w:ascii="Calibri" w:hAnsi="Calibri" w:eastAsia="Calibri"/>
          <w:sz w:val="22"/>
        </w:rPr>
        <w:t xml:space="preserve">Closing line: ‘The real shift is not from one model to another. It is from intuition-led selection to a workflow that is reviewable, reproducible, and defensible.’</w:t>
      </w:r>
    </w:p>
    <w:p w14:paraId="00100078" w14:textId="00100079">
      <w:pPr>
        <w:pStyle w:val="Heading1"/>
        <w:spacing w:before="360" w:after="160"/>
      </w:pPr>
      <w:r>
        <w:rPr>
          <w:rFonts w:ascii="Cambria" w:hAnsi="Cambria" w:eastAsia="Cambria"/>
          <w:b/>
          <w:sz w:val="40"/>
        </w:rPr>
        <w:t xml:space="preserve">Q&amp;A handoff</w:t>
      </w:r>
    </w:p>
    <w:p w14:paraId="0010007A" w14:textId="0010007B">
      <w:pPr>
        <w:spacing w:after="160" w:line="276" w:lineRule="auto"/>
      </w:pPr>
      <w:r>
        <w:rPr>
          <w:rFonts w:ascii="Calibri" w:hAnsi="Calibri" w:eastAsia="Calibri"/>
          <w:sz w:val="22"/>
        </w:rPr>
        <w:t xml:space="preserve">The final five minutes are intentionally live and unscripted. Use the handoff to invite depth rather than improvisation: ‘We’ll use the last five minutes for live questions. Happy to go deeper on workload design, evaluator choices, Langfuse traces, or how to adapt this workflow to your own agents.’</w:t>
      </w:r>
    </w:p>
    <w:p w14:paraId="0010007C" w14:textId="0010007D">
      <w:pPr>
        <w:pStyle w:val="Heading2"/>
        <w:spacing w:before="200" w:after="120"/>
      </w:pPr>
      <w:r>
        <w:rPr>
          <w:rFonts w:ascii="Cambria" w:hAnsi="Cambria" w:eastAsia="Cambria"/>
          <w:b/>
          <w:sz w:val="28"/>
        </w:rPr>
        <w:t xml:space="preserve">Likely question themes</w:t>
      </w:r>
    </w:p>
    <w:p w14:paraId="0010007E" w14:textId="0010007F">
      <w:pPr>
        <w:numPr>
          <w:ilvl w:val="0"/>
          <w:numId w:val="6"/>
        </w:numPr>
        <w:spacing w:after="60"/>
      </w:pPr>
      <w:r>
        <w:rPr>
          <w:rFonts w:ascii="Calibri" w:hAnsi="Calibri" w:eastAsia="Calibri"/>
          <w:sz w:val="22"/>
        </w:rPr>
        <w:t xml:space="preserve">How much mission data is enough before the workload becomes representative rather than anecdotal?</w:t>
      </w:r>
    </w:p>
    <w:p w14:paraId="00100080" w14:textId="00100081">
      <w:pPr>
        <w:numPr>
          <w:ilvl w:val="0"/>
          <w:numId w:val="6"/>
        </w:numPr>
        <w:spacing w:after="60"/>
      </w:pPr>
      <w:r>
        <w:rPr>
          <w:rFonts w:ascii="Calibri" w:hAnsi="Calibri" w:eastAsia="Calibri"/>
          <w:sz w:val="22"/>
        </w:rPr>
        <w:t xml:space="preserve">Can the same workflow compare plain LLM variants, reasoning models, and tool-enabled agents fairly?</w:t>
      </w:r>
    </w:p>
    <w:p w14:paraId="00100082" w14:textId="00100083">
      <w:pPr>
        <w:numPr>
          <w:ilvl w:val="0"/>
          <w:numId w:val="6"/>
        </w:numPr>
        <w:spacing w:after="160"/>
      </w:pPr>
      <w:r>
        <w:rPr>
          <w:rFonts w:ascii="Calibri" w:hAnsi="Calibri" w:eastAsia="Calibri"/>
          <w:sz w:val="22"/>
        </w:rPr>
        <w:t xml:space="preserve">How should a team balance quality, latency, and cost once the evaluation results disagree?</w:t>
      </w:r>
    </w:p>
    <w:p w14:paraId="00100084" w14:textId="00100085">
      <w:pPr>
        <w:pStyle w:val="Heading2"/>
        <w:spacing w:before="200" w:after="120"/>
      </w:pPr>
      <w:r>
        <w:rPr>
          <w:rFonts w:ascii="Cambria" w:hAnsi="Cambria" w:eastAsia="Cambria"/>
          <w:b/>
          <w:sz w:val="28"/>
        </w:rPr>
        <w:t xml:space="preserve">Transition reminder</w:t>
      </w:r>
    </w:p>
    <w:p w14:paraId="00100086" w14:textId="00100087">
      <w:pPr>
        <w:spacing w:after="160" w:line="276" w:lineRule="auto"/>
      </w:pPr>
      <w:r>
        <w:rPr>
          <w:rFonts w:ascii="Calibri" w:hAnsi="Calibri" w:eastAsia="Calibri"/>
          <w:sz w:val="22"/>
        </w:rPr>
        <w:t xml:space="preserve">Keep the handoff short and confident: thank the audience, restate that the Q&amp;A is live, and answer from the evidence path used in the talk — workload, config, traces, evaluation, and decision rationale.</w:t>
      </w:r>
    </w:p>
    <w:sectPr>
      <w:footerReference xmlns:r="http://schemas.openxmlformats.org/officeDocument/2006/relationships" w:type="default" r:id="R4d138b892b5d4122"/>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088" w14:textId="00100089">
    <w:pPr>
      <w:jc w:val="center"/>
    </w:pPr>
    <w:r>
      <w:rPr>
        <w:rFonts w:ascii="Calibri" w:hAnsi="Calibri" w:eastAsia="Calibri"/>
        <w:color w:val="666666"/>
        <w:sz w:val="18"/>
      </w:rPr>
      <w:fldChar w:fldCharType="begin"/>
    </w:r>
    <w:r>
      <w:rPr>
        <w:rFonts w:ascii="Calibri" w:hAnsi="Calibri" w:eastAsia="Calibri"/>
        <w:color w:val="666666"/>
        <w:sz w:val="18"/>
      </w:rPr>
      <w:instrText xml:space="preserve"> PAGE </w:instrText>
    </w:r>
    <w:r>
      <w:rPr>
        <w:rFonts w:ascii="Calibri" w:hAnsi="Calibri" w:eastAsia="Calibri"/>
        <w:color w:val="666666"/>
        <w:sz w:val="18"/>
      </w:rPr>
      <w:fldChar w:fldCharType="separate"/>
    </w:r>
    <w:r>
      <w:rPr>
        <w:rFonts w:ascii="Calibri" w:hAnsi="Calibri" w:eastAsia="Calibri"/>
        <w:color w:val="666666"/>
        <w:sz w:val="18"/>
      </w:rPr>
      <w:t xml:space="preserve">1</w:t>
    </w:r>
    <w:r>
      <w:rPr>
        <w:rFonts w:ascii="Calibri" w:hAnsi="Calibri" w:eastAsia="Calibri"/>
        <w:color w:val="666666"/>
        <w:sz w:val="18"/>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doNotFlipMirrorIndents" w:uri="http://schemas.microsoft.com/office/word" w:val="1"/>
  </w:compat>
</w:settings>
</file>

<file path=word/styles.xml><?xml version="1.0" encoding="utf-8"?>
<w:styles xmlns:w="http://schemas.openxmlformats.org/wordprocessingml/2006/main">
  <w:docDefaults>
    <w:rPrDefault>
      <w:rPr>
        <w:rFonts w:ascii="Times New Roman" w:hAnsi="Times New Roman"/>
      </w:rPr>
    </w:rPrDefault>
    <w:pPrDefault/>
  </w:docDefaults>
</w:styles>
</file>

<file path=word/_rels/document.xml.rels>&#65279;<?xml version="1.0" encoding="utf-8"?><Relationships xmlns="http://schemas.openxmlformats.org/package/2006/relationships"><Relationship Type="http://schemas.openxmlformats.org/officeDocument/2006/relationships/settings" Target="/word/settings.xml" Id="R484312f8a33f4c98" /><Relationship Type="http://schemas.openxmlformats.org/officeDocument/2006/relationships/styles" Target="/word/styles.xml" Id="Rffea5fbbd20c4178" /><Relationship Type="http://schemas.openxmlformats.org/officeDocument/2006/relationships/numbering" Target="/word/numbering.xml" Id="Ra071d16ccf4f4e2d" /><Relationship Type="http://schemas.openxmlformats.org/officeDocument/2006/relationships/footer" Target="/word/footer1.xml" Id="R4d138b892b5d4122" /></Relationships>
</file>

<file path=docProps/app.xml><?xml version="1.0" encoding="utf-8"?>
<ap:Properties xmlns:ap="http://schemas.openxmlformats.org/officeDocument/2006/extended-properties">
  <ap:Application>OfficeCLI/1.0.73</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2026-05-06T18:09:01Z</dcterms:created>
  <cp:lastModifiedBy>OfficeCLI</cp:lastModifiedBy>
  <dcterms:modified xsi:type="dcterms:W3CDTF">2026-05-06T18:09:01Z</dcterms:modified>
</cp:coreProperties>
</file>