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A7E" w:rsidRDefault="007E2A7E" w:rsidP="007E2A7E">
      <w:pPr>
        <w:jc w:val="center"/>
        <w:rPr>
          <w:rFonts w:ascii="Arial" w:hAnsi="Arial" w:cs="Arial"/>
          <w:b/>
          <w:sz w:val="32"/>
          <w:szCs w:val="24"/>
        </w:rPr>
      </w:pPr>
      <w:r>
        <w:rPr>
          <w:noProof/>
          <w:lang w:eastAsia="es-MX"/>
        </w:rPr>
        <w:drawing>
          <wp:anchor distT="0" distB="0" distL="114300" distR="114300" simplePos="0" relativeHeight="251658240" behindDoc="0" locked="0" layoutInCell="1" allowOverlap="1">
            <wp:simplePos x="0" y="0"/>
            <wp:positionH relativeFrom="margin">
              <wp:posOffset>-956310</wp:posOffset>
            </wp:positionH>
            <wp:positionV relativeFrom="margin">
              <wp:posOffset>4402455</wp:posOffset>
            </wp:positionV>
            <wp:extent cx="7467600" cy="4978400"/>
            <wp:effectExtent l="0" t="0" r="0" b="0"/>
            <wp:wrapSquare wrapText="bothSides"/>
            <wp:docPr id="1" name="Imagen 1" descr="Resultado de imagen para cronograma de inver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ronograma de inversion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467600" cy="4978400"/>
                    </a:xfrm>
                    <a:prstGeom prst="rect">
                      <a:avLst/>
                    </a:prstGeom>
                    <a:ln>
                      <a:noFill/>
                    </a:ln>
                    <a:effectLst>
                      <a:softEdge rad="635000"/>
                    </a:effectLst>
                  </pic:spPr>
                </pic:pic>
              </a:graphicData>
            </a:graphic>
            <wp14:sizeRelH relativeFrom="margin">
              <wp14:pctWidth>0</wp14:pctWidth>
            </wp14:sizeRelH>
            <wp14:sizeRelV relativeFrom="margin">
              <wp14:pctHeight>0</wp14:pctHeight>
            </wp14:sizeRelV>
          </wp:anchor>
        </w:drawing>
      </w:r>
      <w:r w:rsidRPr="007E2A7E">
        <w:rPr>
          <w:rFonts w:ascii="Arial" w:hAnsi="Arial" w:cs="Arial"/>
          <w:b/>
          <w:sz w:val="32"/>
          <w:szCs w:val="24"/>
        </w:rPr>
        <w:t xml:space="preserve"> </w:t>
      </w:r>
      <w:r>
        <w:rPr>
          <w:rFonts w:ascii="Arial" w:hAnsi="Arial" w:cs="Arial"/>
          <w:b/>
          <w:sz w:val="32"/>
          <w:szCs w:val="24"/>
        </w:rPr>
        <w:t>Universidad de Guadalajara</w:t>
      </w:r>
    </w:p>
    <w:p w:rsidR="007E2A7E" w:rsidRDefault="007E2A7E" w:rsidP="007E2A7E">
      <w:pPr>
        <w:jc w:val="center"/>
        <w:rPr>
          <w:rFonts w:ascii="Arial" w:hAnsi="Arial" w:cs="Arial"/>
          <w:b/>
          <w:sz w:val="32"/>
          <w:szCs w:val="24"/>
        </w:rPr>
      </w:pPr>
      <w:r>
        <w:rPr>
          <w:rFonts w:ascii="Arial" w:hAnsi="Arial" w:cs="Arial"/>
          <w:b/>
          <w:sz w:val="32"/>
          <w:szCs w:val="24"/>
        </w:rPr>
        <w:t>Sistema de Educación Media Superior</w:t>
      </w:r>
    </w:p>
    <w:p w:rsidR="007E2A7E" w:rsidRPr="00EE6737" w:rsidRDefault="007E2A7E" w:rsidP="007E2A7E">
      <w:pPr>
        <w:jc w:val="center"/>
        <w:rPr>
          <w:rFonts w:ascii="Arial" w:hAnsi="Arial" w:cs="Arial"/>
          <w:b/>
          <w:sz w:val="32"/>
          <w:szCs w:val="24"/>
        </w:rPr>
      </w:pPr>
      <w:r w:rsidRPr="00EE6737">
        <w:rPr>
          <w:rFonts w:ascii="Arial" w:hAnsi="Arial" w:cs="Arial"/>
          <w:b/>
          <w:sz w:val="32"/>
          <w:szCs w:val="24"/>
        </w:rPr>
        <w:t>“5.5 Esquema del derecho de autor del producto seleccionado”</w:t>
      </w:r>
    </w:p>
    <w:p w:rsidR="007E2A7E" w:rsidRDefault="007E2A7E" w:rsidP="007E2A7E">
      <w:pPr>
        <w:jc w:val="center"/>
        <w:rPr>
          <w:rFonts w:ascii="Arial" w:hAnsi="Arial" w:cs="Arial"/>
          <w:sz w:val="32"/>
          <w:szCs w:val="24"/>
        </w:rPr>
      </w:pPr>
      <w:r w:rsidRPr="00EE6737">
        <w:rPr>
          <w:rFonts w:ascii="Arial" w:hAnsi="Arial" w:cs="Arial"/>
          <w:sz w:val="32"/>
          <w:szCs w:val="24"/>
        </w:rPr>
        <w:t>Preparatoria No.17</w:t>
      </w:r>
    </w:p>
    <w:p w:rsidR="007E2A7E" w:rsidRPr="00EE6737" w:rsidRDefault="007E2A7E" w:rsidP="007E2A7E">
      <w:pPr>
        <w:jc w:val="center"/>
        <w:rPr>
          <w:rFonts w:ascii="Arial" w:hAnsi="Arial" w:cs="Arial"/>
          <w:sz w:val="32"/>
          <w:szCs w:val="24"/>
        </w:rPr>
      </w:pPr>
    </w:p>
    <w:p w:rsidR="007E2A7E" w:rsidRPr="007E68BF" w:rsidRDefault="007E2A7E" w:rsidP="007E2A7E">
      <w:pPr>
        <w:rPr>
          <w:rFonts w:ascii="Arial" w:hAnsi="Arial" w:cs="Arial"/>
          <w:color w:val="833C0B" w:themeColor="accent2" w:themeShade="80"/>
          <w:sz w:val="28"/>
          <w:szCs w:val="24"/>
        </w:rPr>
      </w:pPr>
      <w:r w:rsidRPr="007E68BF">
        <w:rPr>
          <w:rFonts w:ascii="Arial" w:hAnsi="Arial" w:cs="Arial"/>
          <w:color w:val="833C0B" w:themeColor="accent2" w:themeShade="80"/>
          <w:sz w:val="28"/>
          <w:szCs w:val="24"/>
        </w:rPr>
        <w:t>Costos y Presupuestos</w:t>
      </w:r>
    </w:p>
    <w:p w:rsidR="007E2A7E" w:rsidRDefault="007E2A7E" w:rsidP="007E2A7E">
      <w:pPr>
        <w:rPr>
          <w:rFonts w:ascii="Arial" w:hAnsi="Arial" w:cs="Arial"/>
          <w:color w:val="833C0B" w:themeColor="accent2" w:themeShade="80"/>
          <w:sz w:val="28"/>
          <w:szCs w:val="24"/>
        </w:rPr>
      </w:pPr>
      <w:r w:rsidRPr="007E68BF">
        <w:rPr>
          <w:rFonts w:ascii="Arial" w:hAnsi="Arial" w:cs="Arial"/>
          <w:color w:val="833C0B" w:themeColor="accent2" w:themeShade="80"/>
          <w:sz w:val="28"/>
          <w:szCs w:val="24"/>
        </w:rPr>
        <w:t xml:space="preserve">Samuel </w:t>
      </w:r>
      <w:proofErr w:type="spellStart"/>
      <w:r w:rsidRPr="007E68BF">
        <w:rPr>
          <w:rFonts w:ascii="Arial" w:hAnsi="Arial" w:cs="Arial"/>
          <w:color w:val="833C0B" w:themeColor="accent2" w:themeShade="80"/>
          <w:sz w:val="28"/>
          <w:szCs w:val="24"/>
        </w:rPr>
        <w:t>Vazquez</w:t>
      </w:r>
      <w:proofErr w:type="spellEnd"/>
      <w:r w:rsidRPr="007E68BF">
        <w:rPr>
          <w:rFonts w:ascii="Arial" w:hAnsi="Arial" w:cs="Arial"/>
          <w:color w:val="833C0B" w:themeColor="accent2" w:themeShade="80"/>
          <w:sz w:val="28"/>
          <w:szCs w:val="24"/>
        </w:rPr>
        <w:t xml:space="preserve"> Bernal</w:t>
      </w:r>
    </w:p>
    <w:p w:rsidR="007E68BF" w:rsidRPr="007E68BF" w:rsidRDefault="007E68BF" w:rsidP="007E2A7E">
      <w:pPr>
        <w:rPr>
          <w:rFonts w:ascii="Arial" w:hAnsi="Arial" w:cs="Arial"/>
          <w:color w:val="833C0B" w:themeColor="accent2" w:themeShade="80"/>
          <w:sz w:val="28"/>
          <w:szCs w:val="24"/>
        </w:rPr>
      </w:pPr>
      <w:r>
        <w:rPr>
          <w:rFonts w:ascii="Arial" w:hAnsi="Arial" w:cs="Arial"/>
          <w:color w:val="833C0B" w:themeColor="accent2" w:themeShade="80"/>
          <w:sz w:val="28"/>
          <w:szCs w:val="24"/>
        </w:rPr>
        <w:t>Ana Atenea Pallares Aviña</w:t>
      </w:r>
      <w:bookmarkStart w:id="0" w:name="_GoBack"/>
      <w:bookmarkEnd w:id="0"/>
    </w:p>
    <w:p w:rsidR="007E2A7E" w:rsidRPr="007E68BF" w:rsidRDefault="007E2A7E" w:rsidP="007E2A7E">
      <w:pPr>
        <w:rPr>
          <w:rFonts w:ascii="Arial" w:hAnsi="Arial" w:cs="Arial"/>
          <w:color w:val="833C0B" w:themeColor="accent2" w:themeShade="80"/>
          <w:sz w:val="28"/>
          <w:szCs w:val="24"/>
        </w:rPr>
      </w:pPr>
      <w:r w:rsidRPr="007E68BF">
        <w:rPr>
          <w:rFonts w:ascii="Arial" w:hAnsi="Arial" w:cs="Arial"/>
          <w:color w:val="833C0B" w:themeColor="accent2" w:themeShade="80"/>
          <w:sz w:val="28"/>
          <w:szCs w:val="24"/>
        </w:rPr>
        <w:t xml:space="preserve">  6A BTDS T/M</w:t>
      </w:r>
      <w:r w:rsidRPr="007E68BF">
        <w:rPr>
          <w:rFonts w:ascii="Arial" w:hAnsi="Arial" w:cs="Arial"/>
          <w:color w:val="833C0B" w:themeColor="accent2" w:themeShade="80"/>
          <w:sz w:val="28"/>
          <w:szCs w:val="24"/>
        </w:rPr>
        <w:br/>
        <w:t>Maestro: Héctor Morante Perfecto</w:t>
      </w:r>
    </w:p>
    <w:p w:rsidR="007E2A7E" w:rsidRPr="007E68BF" w:rsidRDefault="007E2A7E" w:rsidP="007E2A7E">
      <w:pPr>
        <w:rPr>
          <w:rFonts w:ascii="Arial" w:hAnsi="Arial" w:cs="Arial"/>
          <w:color w:val="833C0B" w:themeColor="accent2" w:themeShade="80"/>
          <w:sz w:val="28"/>
          <w:szCs w:val="24"/>
        </w:rPr>
      </w:pPr>
      <w:proofErr w:type="gramStart"/>
      <w:r w:rsidRPr="007E68BF">
        <w:rPr>
          <w:rFonts w:ascii="Arial" w:hAnsi="Arial" w:cs="Arial"/>
          <w:b/>
          <w:color w:val="833C0B" w:themeColor="accent2" w:themeShade="80"/>
          <w:sz w:val="28"/>
          <w:szCs w:val="24"/>
        </w:rPr>
        <w:t>C.H :</w:t>
      </w:r>
      <w:proofErr w:type="gramEnd"/>
      <w:r w:rsidRPr="007E68BF">
        <w:rPr>
          <w:rFonts w:ascii="Arial" w:hAnsi="Arial" w:cs="Arial"/>
          <w:color w:val="833C0B" w:themeColor="accent2" w:themeShade="80"/>
          <w:sz w:val="28"/>
          <w:szCs w:val="24"/>
        </w:rPr>
        <w:t xml:space="preserve"> 14. Valora los fundamentos en los que se sustentan los derechos humanos y los practica de manera crítica en la vida cotidiana.</w:t>
      </w:r>
    </w:p>
    <w:p w:rsidR="007E2A7E" w:rsidRPr="007E2A7E" w:rsidRDefault="007E2A7E" w:rsidP="007E2A7E">
      <w:pPr>
        <w:rPr>
          <w:rFonts w:ascii="Arial" w:hAnsi="Arial" w:cs="Arial"/>
          <w:color w:val="833C0B" w:themeColor="accent2" w:themeShade="80"/>
          <w:sz w:val="24"/>
          <w:szCs w:val="24"/>
        </w:rPr>
      </w:pPr>
    </w:p>
    <w:p w:rsidR="007E2A7E" w:rsidRPr="00EE6737" w:rsidRDefault="007E2A7E" w:rsidP="007E2A7E">
      <w:pPr>
        <w:rPr>
          <w:rFonts w:ascii="Arial" w:hAnsi="Arial" w:cs="Arial"/>
          <w:color w:val="833C0B" w:themeColor="accent2" w:themeShade="80"/>
          <w:sz w:val="32"/>
          <w:szCs w:val="24"/>
        </w:rPr>
      </w:pPr>
    </w:p>
    <w:p w:rsidR="00447E18" w:rsidRDefault="007E2A7E">
      <w:pPr>
        <w:rPr>
          <w:rFonts w:ascii="Arial" w:hAnsi="Arial" w:cs="Arial"/>
          <w:sz w:val="28"/>
        </w:rPr>
      </w:pPr>
      <w:r>
        <w:rPr>
          <w:rFonts w:ascii="Arial" w:hAnsi="Arial" w:cs="Arial"/>
          <w:sz w:val="28"/>
        </w:rPr>
        <w:t>Cronograma de inversiones</w:t>
      </w:r>
    </w:p>
    <w:p w:rsidR="007E2A7E" w:rsidRDefault="007E2A7E">
      <w:pPr>
        <w:rPr>
          <w:rFonts w:ascii="Arial" w:hAnsi="Arial" w:cs="Arial"/>
          <w:sz w:val="24"/>
        </w:rPr>
      </w:pPr>
      <w:r w:rsidRPr="007E2A7E">
        <w:rPr>
          <w:rFonts w:ascii="Arial" w:hAnsi="Arial" w:cs="Arial"/>
          <w:sz w:val="24"/>
        </w:rPr>
        <w:t>El cronograma de inversiones es la presentación de las inversiones detalladas porcada uno de los conceptos básicos en función del tiempo en que se van a realizar, indicando las sumas a invertir en cada concepto, totalizadas por la unidad de tiempo que en este caso es años. En cualquier sector de actividad, existe la necesidad de asignar eficientemente los recursos, casi siempre escasos, de que se dispone. La evaluación de proyectos constituye, en este sentido, un instrumento que provee información para ayudar al proceso decisorio respecto de dónde invertir, ya que permite la medición y comparación de los beneficios y costos que podrían generarse con su eventual</w:t>
      </w:r>
      <w:r>
        <w:rPr>
          <w:rFonts w:ascii="Arial" w:hAnsi="Arial" w:cs="Arial"/>
          <w:sz w:val="24"/>
        </w:rPr>
        <w:t xml:space="preserve"> </w:t>
      </w:r>
      <w:r w:rsidRPr="007E2A7E">
        <w:rPr>
          <w:rFonts w:ascii="Arial" w:hAnsi="Arial" w:cs="Arial"/>
          <w:sz w:val="24"/>
        </w:rPr>
        <w:t>materialización. Como en todo orden de cosas, no puede ser la variable económica, por sí sola, la que determine el resultado de una decisión. Especialmente en áreas como la salud, variables como las éticas, morales, sociales e incluso políticas, podrían hacer aceptar un proyecto, aunque no sea rentable, o rechazar otro que lo sea.</w:t>
      </w:r>
    </w:p>
    <w:p w:rsidR="007E2A7E" w:rsidRDefault="007E2A7E">
      <w:pPr>
        <w:rPr>
          <w:rFonts w:ascii="Arial" w:hAnsi="Arial" w:cs="Arial"/>
          <w:sz w:val="24"/>
        </w:rPr>
      </w:pPr>
      <w:r>
        <w:rPr>
          <w:rFonts w:ascii="Arial" w:hAnsi="Arial" w:cs="Arial"/>
          <w:sz w:val="24"/>
        </w:rPr>
        <w:t>Hay Diferentes tipos de Cronogramas</w:t>
      </w:r>
    </w:p>
    <w:tbl>
      <w:tblPr>
        <w:tblStyle w:val="Tabladecuadrcula4-nfasis1"/>
        <w:tblW w:w="10348" w:type="dxa"/>
        <w:tblLook w:val="04A0" w:firstRow="1" w:lastRow="0" w:firstColumn="1" w:lastColumn="0" w:noHBand="0" w:noVBand="1"/>
      </w:tblPr>
      <w:tblGrid>
        <w:gridCol w:w="1785"/>
        <w:gridCol w:w="3757"/>
        <w:gridCol w:w="4806"/>
      </w:tblGrid>
      <w:tr w:rsidR="007E2A7E" w:rsidTr="00206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E2A7E" w:rsidRDefault="007E2A7E">
            <w:pPr>
              <w:rPr>
                <w:rFonts w:ascii="Arial" w:hAnsi="Arial" w:cs="Arial"/>
                <w:sz w:val="24"/>
              </w:rPr>
            </w:pPr>
            <w:r>
              <w:rPr>
                <w:rFonts w:ascii="Arial" w:hAnsi="Arial" w:cs="Arial"/>
                <w:sz w:val="24"/>
              </w:rPr>
              <w:t>Nombre</w:t>
            </w:r>
          </w:p>
        </w:tc>
        <w:tc>
          <w:tcPr>
            <w:tcW w:w="4756" w:type="dxa"/>
          </w:tcPr>
          <w:p w:rsidR="007E2A7E" w:rsidRDefault="007E2A7E">
            <w:pPr>
              <w:cnfStyle w:val="100000000000" w:firstRow="1" w:lastRow="0" w:firstColumn="0" w:lastColumn="0" w:oddVBand="0" w:evenVBand="0" w:oddHBand="0" w:evenHBand="0" w:firstRowFirstColumn="0" w:firstRowLastColumn="0" w:lastRowFirstColumn="0" w:lastRowLastColumn="0"/>
              <w:rPr>
                <w:rFonts w:ascii="Arial" w:hAnsi="Arial" w:cs="Arial"/>
                <w:sz w:val="24"/>
              </w:rPr>
            </w:pPr>
            <w:proofErr w:type="spellStart"/>
            <w:r>
              <w:rPr>
                <w:rFonts w:ascii="Arial" w:hAnsi="Arial" w:cs="Arial"/>
                <w:sz w:val="24"/>
              </w:rPr>
              <w:t>Definicion</w:t>
            </w:r>
            <w:proofErr w:type="spellEnd"/>
          </w:p>
        </w:tc>
        <w:tc>
          <w:tcPr>
            <w:tcW w:w="3749" w:type="dxa"/>
          </w:tcPr>
          <w:p w:rsidR="007E2A7E" w:rsidRDefault="007E2A7E">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Ejemplo</w:t>
            </w:r>
          </w:p>
        </w:tc>
      </w:tr>
      <w:tr w:rsidR="007E2A7E" w:rsidTr="00206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E2A7E" w:rsidRDefault="007E2A7E">
            <w:pPr>
              <w:rPr>
                <w:rFonts w:ascii="Arial" w:hAnsi="Arial" w:cs="Arial"/>
                <w:sz w:val="24"/>
              </w:rPr>
            </w:pPr>
            <w:r w:rsidRPr="007E2A7E">
              <w:rPr>
                <w:rFonts w:ascii="Arial" w:hAnsi="Arial" w:cs="Arial"/>
                <w:sz w:val="24"/>
              </w:rPr>
              <w:t>Pre-Operativas</w:t>
            </w:r>
          </w:p>
        </w:tc>
        <w:tc>
          <w:tcPr>
            <w:tcW w:w="4756" w:type="dxa"/>
          </w:tcPr>
          <w:p w:rsidR="007E2A7E" w:rsidRDefault="007E2A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E2A7E">
              <w:rPr>
                <w:rFonts w:ascii="Arial" w:hAnsi="Arial" w:cs="Arial"/>
                <w:sz w:val="24"/>
              </w:rPr>
              <w:t xml:space="preserve">En la Etapa Pre-Operativa se calcula los intereses derivados de </w:t>
            </w:r>
            <w:proofErr w:type="gramStart"/>
            <w:r w:rsidRPr="007E2A7E">
              <w:rPr>
                <w:rFonts w:ascii="Arial" w:hAnsi="Arial" w:cs="Arial"/>
                <w:sz w:val="24"/>
              </w:rPr>
              <w:t>aquellas parte</w:t>
            </w:r>
            <w:proofErr w:type="gramEnd"/>
            <w:r w:rsidRPr="007E2A7E">
              <w:rPr>
                <w:rFonts w:ascii="Arial" w:hAnsi="Arial" w:cs="Arial"/>
                <w:sz w:val="24"/>
              </w:rPr>
              <w:t xml:space="preserve"> de la Inversión que se financia mediante préstamo o deuda. Estos intereses pre-operativos se Capitalizan y se recuperan a lo largo de la etapa operativa del Proyecto a través del rubro denominado "Amortización Diferida". Las Inversiones no se desembolsan en conjunto en el momento cero (año 0), fecha de inicio de la operación del Proyecto. De acuerdo a las necesidades, los desembolsos se efectúan en diferentes periodos de tiempo, ante esto, es recomendable identificar el momento en que el desembolso se realizara</w:t>
            </w:r>
          </w:p>
        </w:tc>
        <w:tc>
          <w:tcPr>
            <w:tcW w:w="3749" w:type="dxa"/>
          </w:tcPr>
          <w:p w:rsidR="007E2A7E" w:rsidRDefault="007E2A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noProof/>
                <w:sz w:val="24"/>
                <w:lang w:eastAsia="es-MX"/>
              </w:rPr>
              <w:drawing>
                <wp:anchor distT="0" distB="0" distL="114300" distR="114300" simplePos="0" relativeHeight="251659264" behindDoc="0" locked="0" layoutInCell="1" allowOverlap="1">
                  <wp:simplePos x="0" y="0"/>
                  <wp:positionH relativeFrom="margin">
                    <wp:posOffset>-65405</wp:posOffset>
                  </wp:positionH>
                  <wp:positionV relativeFrom="margin">
                    <wp:posOffset>825500</wp:posOffset>
                  </wp:positionV>
                  <wp:extent cx="2399665" cy="1209675"/>
                  <wp:effectExtent l="0" t="0" r="63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45D19.tmp"/>
                          <pic:cNvPicPr/>
                        </pic:nvPicPr>
                        <pic:blipFill>
                          <a:blip r:embed="rId5">
                            <a:extLst>
                              <a:ext uri="{28A0092B-C50C-407E-A947-70E740481C1C}">
                                <a14:useLocalDpi xmlns:a14="http://schemas.microsoft.com/office/drawing/2010/main" val="0"/>
                              </a:ext>
                            </a:extLst>
                          </a:blip>
                          <a:stretch>
                            <a:fillRect/>
                          </a:stretch>
                        </pic:blipFill>
                        <pic:spPr>
                          <a:xfrm>
                            <a:off x="0" y="0"/>
                            <a:ext cx="2399665" cy="1209675"/>
                          </a:xfrm>
                          <a:prstGeom prst="rect">
                            <a:avLst/>
                          </a:prstGeom>
                        </pic:spPr>
                      </pic:pic>
                    </a:graphicData>
                  </a:graphic>
                </wp:anchor>
              </w:drawing>
            </w:r>
          </w:p>
        </w:tc>
      </w:tr>
      <w:tr w:rsidR="007E2A7E" w:rsidTr="002068EE">
        <w:tc>
          <w:tcPr>
            <w:cnfStyle w:val="001000000000" w:firstRow="0" w:lastRow="0" w:firstColumn="1" w:lastColumn="0" w:oddVBand="0" w:evenVBand="0" w:oddHBand="0" w:evenHBand="0" w:firstRowFirstColumn="0" w:firstRowLastColumn="0" w:lastRowFirstColumn="0" w:lastRowLastColumn="0"/>
            <w:tcW w:w="1843" w:type="dxa"/>
          </w:tcPr>
          <w:p w:rsidR="007E2A7E" w:rsidRDefault="007E2A7E">
            <w:pPr>
              <w:rPr>
                <w:rFonts w:ascii="Arial" w:hAnsi="Arial" w:cs="Arial"/>
                <w:sz w:val="24"/>
              </w:rPr>
            </w:pPr>
            <w:r w:rsidRPr="007E2A7E">
              <w:rPr>
                <w:rFonts w:ascii="Arial" w:hAnsi="Arial" w:cs="Arial"/>
                <w:sz w:val="24"/>
              </w:rPr>
              <w:lastRenderedPageBreak/>
              <w:t>Cronograma De Inversiones Operativas</w:t>
            </w:r>
          </w:p>
        </w:tc>
        <w:tc>
          <w:tcPr>
            <w:tcW w:w="4756" w:type="dxa"/>
          </w:tcPr>
          <w:p w:rsidR="007E2A7E" w:rsidRDefault="007E2A7E">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7E2A7E">
              <w:rPr>
                <w:rFonts w:ascii="Arial" w:hAnsi="Arial" w:cs="Arial"/>
                <w:sz w:val="24"/>
              </w:rPr>
              <w:t>Esta etapa se inicia desde aquel momento que el Proyecto entra en operación y termina al finalizar la vida útil del mismo. A partir de esta fase se generan Ingresos. Durante la etapa operativa pueden llevarse a cabo Inversiones en activos fijos, como resultado de la ampliación de la planta y reposición o Reemplazo de activos. En esta fase se efectúan la Inversión inicial en Capital de Trabajo.</w:t>
            </w:r>
          </w:p>
        </w:tc>
        <w:tc>
          <w:tcPr>
            <w:tcW w:w="3749" w:type="dxa"/>
          </w:tcPr>
          <w:p w:rsidR="007E2A7E" w:rsidRDefault="007E2A7E">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noProof/>
                <w:sz w:val="24"/>
                <w:lang w:eastAsia="es-MX"/>
              </w:rPr>
              <w:drawing>
                <wp:inline distT="0" distB="0" distL="0" distR="0">
                  <wp:extent cx="2905530" cy="1943371"/>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44835.tmp"/>
                          <pic:cNvPicPr/>
                        </pic:nvPicPr>
                        <pic:blipFill>
                          <a:blip r:embed="rId6">
                            <a:extLst>
                              <a:ext uri="{28A0092B-C50C-407E-A947-70E740481C1C}">
                                <a14:useLocalDpi xmlns:a14="http://schemas.microsoft.com/office/drawing/2010/main" val="0"/>
                              </a:ext>
                            </a:extLst>
                          </a:blip>
                          <a:stretch>
                            <a:fillRect/>
                          </a:stretch>
                        </pic:blipFill>
                        <pic:spPr>
                          <a:xfrm>
                            <a:off x="0" y="0"/>
                            <a:ext cx="2905530" cy="1943371"/>
                          </a:xfrm>
                          <a:prstGeom prst="rect">
                            <a:avLst/>
                          </a:prstGeom>
                        </pic:spPr>
                      </pic:pic>
                    </a:graphicData>
                  </a:graphic>
                </wp:inline>
              </w:drawing>
            </w:r>
          </w:p>
        </w:tc>
      </w:tr>
      <w:tr w:rsidR="007E2A7E" w:rsidTr="00206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E2A7E" w:rsidRDefault="007E2A7E">
            <w:pPr>
              <w:rPr>
                <w:rFonts w:ascii="Arial" w:hAnsi="Arial" w:cs="Arial"/>
                <w:sz w:val="24"/>
              </w:rPr>
            </w:pPr>
            <w:r w:rsidRPr="007E2A7E">
              <w:rPr>
                <w:rFonts w:ascii="Arial" w:hAnsi="Arial" w:cs="Arial"/>
                <w:sz w:val="24"/>
              </w:rPr>
              <w:t>Cronograma Consolidado De Inversiones</w:t>
            </w:r>
          </w:p>
        </w:tc>
        <w:tc>
          <w:tcPr>
            <w:tcW w:w="4756" w:type="dxa"/>
          </w:tcPr>
          <w:p w:rsidR="007E2A7E" w:rsidRDefault="007E2A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E2A7E">
              <w:rPr>
                <w:rFonts w:ascii="Arial" w:hAnsi="Arial" w:cs="Arial"/>
                <w:sz w:val="24"/>
              </w:rPr>
              <w:t>El Formato del Cronograma de Inversiones se presenta en el siguiente cuadro, su elaboración se realiza tomando en cuenta las Inversiones Pre-Operativas y las Inversiones operativas.</w:t>
            </w:r>
          </w:p>
        </w:tc>
        <w:tc>
          <w:tcPr>
            <w:tcW w:w="3749" w:type="dxa"/>
          </w:tcPr>
          <w:p w:rsidR="007E2A7E" w:rsidRDefault="007E2A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noProof/>
                <w:sz w:val="24"/>
                <w:lang w:eastAsia="es-MX"/>
              </w:rPr>
              <w:drawing>
                <wp:inline distT="0" distB="0" distL="0" distR="0">
                  <wp:extent cx="2085975" cy="16262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4A1BB.tmp"/>
                          <pic:cNvPicPr/>
                        </pic:nvPicPr>
                        <pic:blipFill>
                          <a:blip r:embed="rId7">
                            <a:extLst>
                              <a:ext uri="{28A0092B-C50C-407E-A947-70E740481C1C}">
                                <a14:useLocalDpi xmlns:a14="http://schemas.microsoft.com/office/drawing/2010/main" val="0"/>
                              </a:ext>
                            </a:extLst>
                          </a:blip>
                          <a:stretch>
                            <a:fillRect/>
                          </a:stretch>
                        </pic:blipFill>
                        <pic:spPr>
                          <a:xfrm>
                            <a:off x="0" y="0"/>
                            <a:ext cx="2099590" cy="1636869"/>
                          </a:xfrm>
                          <a:prstGeom prst="rect">
                            <a:avLst/>
                          </a:prstGeom>
                        </pic:spPr>
                      </pic:pic>
                    </a:graphicData>
                  </a:graphic>
                </wp:inline>
              </w:drawing>
            </w:r>
          </w:p>
        </w:tc>
      </w:tr>
      <w:tr w:rsidR="007E2A7E" w:rsidTr="002068EE">
        <w:tc>
          <w:tcPr>
            <w:cnfStyle w:val="001000000000" w:firstRow="0" w:lastRow="0" w:firstColumn="1" w:lastColumn="0" w:oddVBand="0" w:evenVBand="0" w:oddHBand="0" w:evenHBand="0" w:firstRowFirstColumn="0" w:firstRowLastColumn="0" w:lastRowFirstColumn="0" w:lastRowLastColumn="0"/>
            <w:tcW w:w="1843" w:type="dxa"/>
          </w:tcPr>
          <w:p w:rsidR="007E2A7E" w:rsidRDefault="007E2A7E">
            <w:pPr>
              <w:rPr>
                <w:rFonts w:ascii="Arial" w:hAnsi="Arial" w:cs="Arial"/>
                <w:sz w:val="24"/>
              </w:rPr>
            </w:pPr>
            <w:r w:rsidRPr="007E2A7E">
              <w:rPr>
                <w:rFonts w:ascii="Arial" w:hAnsi="Arial" w:cs="Arial"/>
                <w:sz w:val="24"/>
              </w:rPr>
              <w:t>Cronograma de Inversión para Capital de Trabajo</w:t>
            </w:r>
          </w:p>
        </w:tc>
        <w:tc>
          <w:tcPr>
            <w:tcW w:w="4756" w:type="dxa"/>
          </w:tcPr>
          <w:p w:rsidR="007E2A7E" w:rsidRDefault="007E2A7E">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7E2A7E">
              <w:rPr>
                <w:rFonts w:ascii="Arial" w:hAnsi="Arial" w:cs="Arial"/>
                <w:sz w:val="24"/>
              </w:rPr>
              <w:t>l Método Contable: La contabilidad le da al capital de trabajo una connotación de corto plazo -activos corrientes menos pasivos corrientes-, que generalmente se confunde con la inversión en capital de trabajo, que es un concepto de largo plazo. Concepto 0 Años 1 2… 10 Inventario de Materias Primas Cuentas por Cobrar Gastos de Administración Dinero en Efectivo Otros (Especifique) Total Inversiones Capital de Trabajo</w:t>
            </w:r>
          </w:p>
        </w:tc>
        <w:tc>
          <w:tcPr>
            <w:tcW w:w="3749" w:type="dxa"/>
          </w:tcPr>
          <w:p w:rsidR="007E2A7E" w:rsidRDefault="007E2A7E">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noProof/>
                <w:sz w:val="24"/>
                <w:lang w:eastAsia="es-MX"/>
              </w:rPr>
              <w:drawing>
                <wp:inline distT="0" distB="0" distL="0" distR="0">
                  <wp:extent cx="2904095" cy="13811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64E22C.tmp"/>
                          <pic:cNvPicPr/>
                        </pic:nvPicPr>
                        <pic:blipFill>
                          <a:blip r:embed="rId8">
                            <a:extLst>
                              <a:ext uri="{28A0092B-C50C-407E-A947-70E740481C1C}">
                                <a14:useLocalDpi xmlns:a14="http://schemas.microsoft.com/office/drawing/2010/main" val="0"/>
                              </a:ext>
                            </a:extLst>
                          </a:blip>
                          <a:stretch>
                            <a:fillRect/>
                          </a:stretch>
                        </pic:blipFill>
                        <pic:spPr>
                          <a:xfrm>
                            <a:off x="0" y="0"/>
                            <a:ext cx="2911050" cy="1384432"/>
                          </a:xfrm>
                          <a:prstGeom prst="rect">
                            <a:avLst/>
                          </a:prstGeom>
                        </pic:spPr>
                      </pic:pic>
                    </a:graphicData>
                  </a:graphic>
                </wp:inline>
              </w:drawing>
            </w:r>
          </w:p>
        </w:tc>
      </w:tr>
      <w:tr w:rsidR="007E2A7E" w:rsidTr="00206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E2A7E" w:rsidRDefault="007E2A7E">
            <w:pPr>
              <w:rPr>
                <w:rFonts w:ascii="Arial" w:hAnsi="Arial" w:cs="Arial"/>
                <w:sz w:val="24"/>
              </w:rPr>
            </w:pPr>
          </w:p>
        </w:tc>
        <w:tc>
          <w:tcPr>
            <w:tcW w:w="4756" w:type="dxa"/>
          </w:tcPr>
          <w:p w:rsidR="007E2A7E" w:rsidRDefault="007E2A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749" w:type="dxa"/>
          </w:tcPr>
          <w:p w:rsidR="007E2A7E" w:rsidRDefault="007E2A7E">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7E2A7E" w:rsidRPr="007E2A7E" w:rsidRDefault="007E2A7E">
      <w:pPr>
        <w:rPr>
          <w:rFonts w:ascii="Arial" w:hAnsi="Arial" w:cs="Arial"/>
          <w:sz w:val="24"/>
        </w:rPr>
      </w:pPr>
    </w:p>
    <w:sectPr w:rsidR="007E2A7E" w:rsidRPr="007E2A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A7E"/>
    <w:rsid w:val="002068EE"/>
    <w:rsid w:val="004B7EE6"/>
    <w:rsid w:val="006453A2"/>
    <w:rsid w:val="007E2A7E"/>
    <w:rsid w:val="007E68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0780"/>
  <w15:chartTrackingRefBased/>
  <w15:docId w15:val="{44D27907-0967-4E61-9141-FCA66F45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A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E2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2068E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498</Words>
  <Characters>2741</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2019-05-18T13:32:00Z</dcterms:created>
  <dcterms:modified xsi:type="dcterms:W3CDTF">2019-05-18T14:23:00Z</dcterms:modified>
</cp:coreProperties>
</file>