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ContentType="application/vnd.openxmlformats-package.relationships+xml" PartName="/_rels/.rels"/>
  <Override ContentType="application/vnd.openxmlformats-package.core-properties+xml" PartName="/docProps/core.xml"/>
  <Override ContentType="application/vnd.openxmlformats-officedocument.extended-properties+xml" PartName="/docProps/app.xml"/>
  <Override ContentType="application/vnd.openxmlformats-officedocument.custom-properties+xml" PartName="/docProps/custom.xml"/>
  <Override ContentType="application/vnd.openxmlformats-officedocument.wordprocessingml.footer+xml" PartName="/word/footer5.xml"/>
  <Override ContentType="image/png" PartName="/word/media/image1.png"/>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settings+xml" PartName="/word/settings.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footer+xml" PartName="/word/footer7.xml"/>
  <Override ContentType="application/vnd.openxmlformats-officedocument.wordprocessingml.header+xml" PartName="/word/header6.xml"/>
  <Override ContentType="application/vnd.openxmlformats-officedocument.wordprocessingml.numbering+xml" PartName="/word/numbering.xml"/>
  <Override ContentType="application/vnd.openxmlformats-package.relationships+xml" PartName="/word/_rels/document.xml.rels"/>
  <Override ContentType="application/vnd.openxmlformats-officedocument.wordprocessingml.comments+xml" PartName="/word/comments.xml"/>
  <Override ContentType="application/vnd.openxmlformats-officedocument.wordprocessingml.footer+xml" PartName="/word/footer6.xml"/>
  <Override ContentType="application/vnd.openxmlformats-officedocument.wordprocessingml.header+xml" PartName="/word/header5.xml"/>
  <Override ContentType="application/vnd.openxmlformats-officedocument.wordprocessingml.header+xml" PartName="/word/header7.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wordprocessingml.header+xml" PartName="/word/header8.xml"/>
  <Override ContentType="application/vnd.openxmlformats-officedocument.wordprocessingml.footer+xml" PartName="/word/footer8.xml"/>
</Types>
</file>

<file path=_rels/.rels><?xml version="1.0" encoding="UTF-8" standalone="yes"?>
<Relationships xmlns="http://schemas.openxmlformats.org/package/2006/relationships"><Relationship Target="docProps/core.xml" Type="http://schemas.openxmlformats.org/officedocument/2006/relationships/metadata/core-properties" Id="rId1"/><Relationship Target="docProps/app.xml" Type="http://schemas.openxmlformats.org/officeDocument/2006/relationships/extended-properties" Id="rId2"/><Relationship Target="docProps/custom.xml" Type="http://schemas.openxmlformats.org/officeDocument/2006/relationships/custom-properties" Id="rId3"/><Relationship Target="word/document.xml" Type="http://schemas.openxmlformats.org/officeDocument/2006/relationships/officeDocument" Id="rId4"/></Relationships>

</file>

<file path=word/document.xml><?xml version="1.0" encoding="utf-8"?>
<w:document xmlns="http://schemas.openxmlformats.org/wordprocessingml/2006/main" xmlns:a="http://schemas.openxmlformats.org/drawingml/2006/main" xmlns:m="http://schemas.openxmlformats.org/officeDocument/2006/math" xmlns:ma="http://schemas.openxmlformats.org/schemaLibrary/2006/main" xmlns:mc="http://schemas.openxmlformats.org/markup-compatibility/2006"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xmlns:wps="http://schemas.microsoft.com/office/word/2010/wordprocessingShape" w:conformance="transitional">
  <w:body>
    <w:p>
      <w:pPr>
        <w:pStyle w:val="Normal"/>
        <w:widowControl/>
        <w:jc w:val="start"/>
        <w:rPr>
          <w:rFonts w:ascii="宋体;SimSun" w:hAnsi="宋体;SimSun" w:cs="宋体;SimSun"/>
          <w:kern w:val="0"/>
          <w:sz w:val="24"/>
          <w:lang w:bidi="ar"/>
        </w:rPr>
      </w:pPr>
      <w:r>
        <w:rPr>
          <w:rFonts w:ascii="宋体;SimSun" w:hAnsi="宋体;SimSun" w:cs="宋体;SimSun"/>
          <w:kern w:val="0"/>
          <w:sz w:val="24"/>
          <w:lang w:bidi="ar"/>
        </w:rPr>
      </w:r>
    </w:p>
    <w:p>
      <w:pPr>
        <w:pStyle w:val="Normal"/>
        <w:widowControl/>
        <w:jc w:val="start"/>
        <w:rPr/>
      </w:pPr>
      <w:r>
        <w:rPr>
          <w:rFonts w:ascii="宋体;SimSun" w:hAnsi="宋体;SimSun" w:cs="宋体;SimSun"/>
          <w:kern w:val="0"/>
          <w:sz w:val="24"/>
          <w:lang w:bidi="ar"/>
        </w:rPr>
        <w:t xml:space="preserve">  </w:t>
      </w:r>
      <w:r>
        <w:rPr>
          <w:rFonts w:ascii="宋体;SimSun" w:hAnsi="宋体;SimSun" w:cs="宋体;SimSun"/>
          <w:kern w:val="0"/>
          <w:sz w:val="24"/>
          <w:lang w:val="en-US" w:eastAsia="en-US"/>
        </w:rPr>
        <w:drawing>
          <wp:inline xmlns="http://schemas.openxmlformats.org/drawingml/2006/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distT="0" distB="0" distL="0" distR="0">
            <wp:extent cx="5471160" cy="1305560"/>
            <wp:effectExtent l="0" t="0" r="0" b="0"/>
            <wp:docPr id="1" name="图片 7" descr="" title=""/>
            <wp:cNvGraphicFramePr>
              <a:graphicFrameLocks xmlns:a="http://schemas.openxmlformats.org/drawingml/2006/main" noChangeAspect="1"/>
            </wp:cNvGraphicFramePr>
            <a:graphic xmlns:a="http://schemas.openxmlformats.org/drawingml/2006/main">
              <a:graphicData uri="http://schemas.openxmlformats.org/drawingml/2006/picture">
                <pic:pic xmlns="http://schemas.openxmlformats.org/drawingml/2006/picture" xmlns:pic="http://schemas.openxmlformats.org/drawingml/2006/picture">
                  <pic:nvPicPr>
                    <pic:cNvPr id="1" name="图片 7" descr="" title=""/>
                    <pic:cNvPicPr>
                      <a:picLocks noChangeAspect="1" noChangeArrowheads="1"/>
                    </pic:cNvPicPr>
                  </pic:nvPicPr>
                  <pic:blipFill>
                    <a:blip r:embed="rId2"/>
                    <a:srcRect l="-3" t="-13" r="-3" b="-13"/>
                    <a:stretch>
                      <a:fillRect/>
                    </a:stretch>
                  </pic:blipFill>
                  <pic:spPr bwMode="auto">
                    <a:xfrm>
                      <a:off x="0" y="0"/>
                      <a:ext cx="5471160" cy="1305560"/>
                    </a:xfrm>
                    <a:prstGeom prst="rect">
                      <a:avLst/>
                    </a:prstGeom>
                    <a:noFill/>
                  </pic:spPr>
                </pic:pic>
              </a:graphicData>
            </a:graphic>
          </wp:inline>
        </w:drawing>
      </w:r>
    </w:p>
    <w:p>
      <w:pPr>
        <w:pStyle w:val="Normal"/>
        <w:widowControl/>
        <w:jc w:val="start"/>
        <w:rPr/>
      </w:pPr>
      <w:r>
        <w:rPr/>
      </w:r>
    </w:p>
    <w:p>
      <w:pPr>
        <w:pStyle w:val="Normal"/>
        <w:tabs>
          <w:tab w:val="clear" w:pos="420"/>
          <w:tab w:val="left" w:leader="none" w:pos="1843"/>
        </w:tabs>
        <w:jc w:val="center"/>
        <w:rPr>
          <w:rFonts w:ascii="黑体;SimHei" w:hAnsi="黑体;SimHei" w:eastAsia="黑体;SimHei"/>
          <w:b/>
          <w:bCs/>
          <w:sz w:val="72"/>
          <w:szCs w:val="72"/>
        </w:rPr>
      </w:pPr>
      <w:r>
        <w:rPr>
          <w:rFonts w:ascii="黑体;SimHei" w:hAnsi="黑体;SimHei" w:eastAsia="黑体;SimHei"/>
          <w:b/>
          <w:bCs/>
          <w:sz w:val="72"/>
          <w:szCs w:val="72"/>
        </w:rPr>
        <w:t>本科毕业论文</w:t>
      </w:r>
      <w:r>
        <w:rPr>
          <w:rFonts w:ascii="黑体;SimHei" w:hAnsi="黑体;SimHei" w:eastAsia="黑体;SimHei"/>
          <w:b/>
          <w:bCs/>
          <w:sz w:val="72"/>
          <w:szCs w:val="72"/>
        </w:rPr>
        <w:t>/</w:t>
      </w:r>
      <w:r>
        <w:rPr>
          <w:rFonts w:ascii="黑体;SimHei" w:hAnsi="黑体;SimHei" w:eastAsia="黑体;SimHei"/>
          <w:b/>
          <w:bCs/>
          <w:sz w:val="72"/>
          <w:szCs w:val="72"/>
        </w:rPr>
        <w:t>设计</w:t>
      </w:r>
    </w:p>
    <w:tbl>
      <w:tblPr>
        <w:tblpPr w:leftFromText="180" w:rightFromText="180" w:vertAnchor="text" w:horzAnchor="page" w:tblpX="2181" w:tblpY="554"/>
        <w:tblOverlap w:val="never"/>
        <w:tblW w:w="7819" w:type="dxa"/>
        <w:jc w:val="left"/>
        <w:tblInd w:w="108" w:type="dxa"/>
        <w:tblLayout w:type="fixed"/>
        <w:tblCellMar>
          <w:top w:w="0" w:type="dxa"/>
          <w:start w:w="108" w:type="dxa"/>
          <w:bottom w:w="0" w:type="dxa"/>
          <w:end w:w="108" w:type="dxa"/>
        </w:tblCellMar>
      </w:tblPr>
      <w:tblGrid>
        <w:gridCol w:w="1176"/>
        <w:gridCol w:w="6643"/>
      </w:tblGrid>
      <w:tr>
        <w:trPr>
          <w:trHeight w:val="841" w:hRule="atLeast"/>
        </w:trPr>
        <w:tc>
          <w:tcPr>
            <w:tcW w:w="1176" w:type="dxa"/>
            <w:tcBorders/>
            <w:vAlign w:val="center"/>
          </w:tcPr>
          <w:p>
            <w:pPr>
              <w:tabs>
                <w:tab w:val="clear" w:pos="420"/>
                <w:tab w:val="left" w:leader="none" w:pos="993"/>
                <w:tab w:val="left" w:leader="none" w:pos="7797"/>
              </w:tabs>
              <w:spacing w:before="0" w:after="0" w:line="360" w:lineRule="auto"/>
              <w:ind w:firstLine="480"/>
              <w:jc w:val="both"/>
              <w:rPr>
                <w:rFonts w:ascii="宋体" w:hAnsi="宋体" w:eastAsia="宋体" w:cs="宋体"/>
                <w:b/>
                <w:sz w:val="24"/>
                <w:szCs w:val="24"/>
              </w:rPr>
            </w:pPr>
            <w:r>
              <w:rPr>
                <w:rFonts w:ascii="宋体" w:hAnsi="宋体" w:eastAsia="宋体" w:cs="宋体"/>
                <w:b/>
                <w:bCs/>
                <w:sz w:val="24"/>
                <w:szCs w:val="24"/>
              </w:rPr>
              <w:t>题目</w:t>
            </w:r>
          </w:p>
        </w:tc>
        <w:tc>
          <w:tcPr>
            <w:tcW w:w="6643" w:type="dxa"/>
            <w:tcBorders/>
            <w:vAlign w:val="center"/>
          </w:tcPr>
          <w:p>
            <w:pPr>
              <w:tabs>
                <w:tab w:val="clear" w:pos="420"/>
                <w:tab w:val="left" w:leader="none" w:pos="993"/>
                <w:tab w:val="left" w:leader="none" w:pos="7797"/>
              </w:tabs>
              <w:spacing w:before="0" w:after="0" w:line="360" w:lineRule="auto"/>
              <w:ind w:firstLine="480"/>
              <w:jc w:val="both"/>
              <w:rPr>
                <w:rFonts w:ascii="宋体" w:hAnsi="宋体" w:eastAsia="宋体" w:cs="宋体"/>
                <w:b/>
                <w:sz w:val="24"/>
                <w:szCs w:val="24"/>
                <w:u w:val="single"/>
              </w:rPr>
            </w:pPr>
            <w:r>
              <w:rPr>
                <w:rFonts w:ascii="宋体" w:hAnsi="宋体" w:eastAsia="宋体" w:cs="宋体"/>
                <w:b/>
                <w:sz w:val="24"/>
                <w:szCs w:val="24"/>
                <w:u w:val="single"/>
              </w:rPr>
              <w:t>社区</w:t>
            </w:r>
            <w:r>
              <w:rPr>
                <w:rFonts w:ascii="宋体" w:hAnsi="宋体" w:eastAsia="宋体" w:cs="宋体"/>
                <w:b/>
                <w:sz w:val="24"/>
                <w:szCs w:val="24"/>
                <w:u w:val="single"/>
              </w:rPr>
              <w:t>2</w:t>
            </w:r>
            <w:r>
              <w:rPr>
                <w:rFonts w:ascii="宋体" w:hAnsi="宋体" w:eastAsia="宋体" w:cs="宋体"/>
                <w:b/>
                <w:sz w:val="24"/>
                <w:szCs w:val="24"/>
                <w:u w:val="single"/>
              </w:rPr>
              <w:t>型糖尿病患者疾病知识</w:t>
            </w:r>
          </w:p>
        </w:tc>
      </w:tr>
      <w:tr>
        <w:trPr>
          <w:trHeight w:val="668" w:hRule="atLeast"/>
        </w:trPr>
        <w:tc>
          <w:tcPr>
            <w:tcW w:w="1176" w:type="dxa"/>
            <w:tcBorders/>
          </w:tcPr>
          <w:p>
            <w:pPr>
              <w:pStyle w:val="Normal"/>
              <w:tabs>
                <w:tab w:val="clear" w:pos="420"/>
                <w:tab w:val="left" w:leader="none" w:pos="993"/>
                <w:tab w:val="left" w:leader="none" w:pos="7797"/>
              </w:tabs>
              <w:snapToGrid w:val="false"/>
              <w:spacing w:line="360" w:lineRule="auto"/>
              <w:jc w:val="start"/>
              <w:rPr>
                <w:rFonts w:ascii="宋体;SimSun" w:hAnsi="宋体;SimSun" w:cs="宋体;SimSun"/>
                <w:b/>
                <w:sz w:val="36"/>
                <w:szCs w:val="36"/>
                <w:u w:val="single"/>
              </w:rPr>
            </w:pPr>
            <w:r>
              <w:rPr>
                <w:rFonts w:ascii="宋体;SimSun" w:hAnsi="宋体;SimSun" w:cs="宋体;SimSun"/>
                <w:b/>
                <w:sz w:val="36"/>
                <w:szCs w:val="36"/>
                <w:u w:val="single"/>
              </w:rPr>
            </w:r>
          </w:p>
        </w:tc>
        <w:tc>
          <w:tcPr>
            <w:tcW w:w="6643" w:type="dxa"/>
            <w:tcBorders/>
            <w:vAlign w:val="center"/>
          </w:tcPr>
          <w:p>
            <w:pPr>
              <w:tabs>
                <w:tab w:val="clear" w:pos="420"/>
                <w:tab w:val="left" w:leader="none" w:pos="993"/>
                <w:tab w:val="left" w:leader="none" w:pos="7797"/>
              </w:tabs>
              <w:spacing w:before="0" w:after="0" w:line="360" w:lineRule="auto"/>
              <w:ind w:firstLine="480"/>
              <w:jc w:val="both"/>
              <w:rPr>
                <w:rFonts w:ascii="宋体" w:hAnsi="宋体" w:eastAsia="宋体" w:cs="宋体"/>
                <w:b/>
                <w:sz w:val="24"/>
                <w:szCs w:val="24"/>
                <w:u w:val="single"/>
              </w:rPr>
            </w:pPr>
            <w:r>
              <w:rPr>
                <w:rFonts w:ascii="宋体" w:hAnsi="宋体" w:eastAsia="宋体" w:cs="宋体"/>
                <w:b/>
                <w:sz w:val="24"/>
                <w:szCs w:val="24"/>
                <w:u w:val="single"/>
              </w:rPr>
              <w:t>认知现状及影响因素分析</w:t>
            </w:r>
          </w:p>
        </w:tc>
      </w:tr>
    </w:tbl>
    <w:p>
      <w:pPr>
        <w:pStyle w:val="Normal"/>
        <w:rPr>
          <w:rFonts w:ascii="宋体;SimSun" w:hAnsi="宋体;SimSun"/>
          <w:sz w:val="72"/>
          <w:szCs w:val="72"/>
        </w:rPr>
      </w:pPr>
      <w:r>
        <w:rPr>
          <w:rFonts w:ascii="宋体;SimSun" w:hAnsi="宋体;SimSun"/>
          <w:sz w:val="72"/>
          <w:szCs w:val="72"/>
        </w:rPr>
      </w:r>
    </w:p>
    <w:p>
      <w:pPr>
        <w:pStyle w:val="Normal"/>
        <w:rPr>
          <w:rFonts w:ascii="宋体;SimSun" w:hAnsi="宋体;SimSun"/>
          <w:sz w:val="72"/>
          <w:szCs w:val="72"/>
        </w:rPr>
      </w:pPr>
      <w:r>
        <w:rPr>
          <w:rFonts w:ascii="宋体;SimSun" w:hAnsi="宋体;SimSun"/>
          <w:sz w:val="72"/>
          <w:szCs w:val="72"/>
        </w:rPr>
      </w:r>
    </w:p>
    <w:p>
      <w:pPr>
        <w:pStyle w:val="Normal"/>
        <w:rPr>
          <w:rFonts w:ascii="宋体;SimSun" w:hAnsi="宋体;SimSun" w:cs="宋体;SimSun"/>
          <w:b/>
          <w:bCs/>
          <w:sz w:val="44"/>
          <w:szCs w:val="44"/>
        </w:rPr>
      </w:pPr>
      <w:r>
        <w:rPr>
          <w:rFonts w:ascii="宋体;SimSun" w:hAnsi="宋体;SimSun" w:cs="宋体;SimSun"/>
          <w:b/>
          <w:bCs/>
          <w:sz w:val="44"/>
          <w:szCs w:val="44"/>
        </w:rPr>
      </w:r>
    </w:p>
    <w:p>
      <w:pPr>
        <w:pStyle w:val="Normal"/>
        <w:tabs>
          <w:tab w:val="clear" w:pos="420"/>
          <w:tab w:val="left" w:leader="none" w:pos="993"/>
          <w:tab w:val="left" w:leader="none" w:pos="7797"/>
        </w:tabs>
        <w:spacing w:line="360" w:lineRule="auto"/>
        <w:jc w:val="start"/>
        <w:rPr>
          <w:rFonts w:ascii="宋体;SimSun" w:hAnsi="宋体;SimSun" w:cs="宋体;SimSun"/>
          <w:b/>
          <w:bCs/>
          <w:sz w:val="44"/>
          <w:szCs w:val="44"/>
        </w:rPr>
      </w:pPr>
      <w:r>
        <w:rPr>
          <w:rFonts w:ascii="宋体;SimSun" w:hAnsi="宋体;SimSun" w:cs="宋体;SimSun"/>
          <w:b/>
          <w:bCs/>
          <w:sz w:val="44"/>
          <w:szCs w:val="44"/>
        </w:rPr>
      </w:r>
    </w:p>
    <w:tbl>
      <w:tblPr>
        <w:tblW w:w="7815" w:type="dxa"/>
        <w:jc w:val="left"/>
        <w:tblInd w:w="1055" w:type="dxa"/>
        <w:tblLayout w:type="fixed"/>
        <w:tblCellMar>
          <w:top w:w="0" w:type="dxa"/>
          <w:start w:w="113" w:type="dxa"/>
          <w:bottom w:w="0" w:type="dxa"/>
          <w:end w:w="170" w:type="dxa"/>
        </w:tblCellMar>
      </w:tblPr>
      <w:tblGrid>
        <w:gridCol w:w="1860"/>
        <w:gridCol w:w="5955"/>
      </w:tblGrid>
      <w:tr>
        <w:trPr/>
        <w:tc>
          <w:tcPr>
            <w:tcW w:w="1860" w:type="dxa"/>
            <w:tcBorders/>
          </w:tcPr>
          <w:p>
            <w:pPr>
              <w:snapToGrid w:val="false"/>
              <w:spacing w:before="0" w:after="0" w:line="360" w:lineRule="auto"/>
              <w:ind w:firstLine="480"/>
              <w:jc w:val="both"/>
              <w:rPr>
                <w:rFonts w:ascii="宋体" w:hAnsi="宋体" w:eastAsia="宋体" w:cs="宋体"/>
                <w:b/>
                <w:bCs/>
                <w:sz w:val="24"/>
                <w:szCs w:val="24"/>
              </w:rPr>
            </w:pPr>
            <w:r>
              <w:rPr>
                <w:rFonts w:ascii="宋体" w:hAnsi="宋体" w:eastAsia="宋体" w:cs="宋体"/>
                <w:b/>
                <w:bCs/>
                <w:sz w:val="24"/>
                <w:szCs w:val="24"/>
              </w:rPr>
              <w:t>学院</w:t>
            </w:r>
          </w:p>
        </w:tc>
        <w:tc>
          <w:tcPr>
            <w:tcW w:w="5955" w:type="dxa"/>
            <w:tcBorders>
              <w:bottom w:val="single" w:color="000000" w:sz="6" w:space="0"/>
            </w:tcBorders>
            <w:tcMar>
              <w:end w:w="113" w:type="dxa"/>
            </w:tcMar>
            <w:vAlign w:val="center"/>
          </w:tcPr>
          <w:p>
            <w:pPr>
              <w:snapToGrid w:val="false"/>
              <w:spacing w:before="0" w:after="0" w:line="360" w:lineRule="auto"/>
              <w:ind w:firstLine="480"/>
              <w:jc w:val="both"/>
              <w:rPr>
                <w:rFonts w:ascii="宋体" w:hAnsi="宋体" w:eastAsia="宋体" w:cs="宋体"/>
                <w:b/>
                <w:bCs/>
                <w:color w:val="000000"/>
                <w:sz w:val="24"/>
                <w:szCs w:val="24"/>
              </w:rPr>
            </w:pPr>
            <w:r>
              <w:rPr>
                <w:rFonts w:ascii="宋体" w:hAnsi="宋体" w:eastAsia="宋体" w:cs="宋体"/>
                <w:b/>
                <w:bCs/>
                <w:color w:val="000000"/>
                <w:sz w:val="24"/>
                <w:szCs w:val="24"/>
              </w:rPr>
              <w:t>护理学院</w:t>
            </w:r>
          </w:p>
        </w:tc>
      </w:tr>
      <w:tr>
        <w:trPr/>
        <w:tc>
          <w:tcPr>
            <w:tcW w:w="1860" w:type="dxa"/>
            <w:tcBorders/>
          </w:tcPr>
          <w:p>
            <w:pPr>
              <w:snapToGrid w:val="false"/>
              <w:spacing w:before="0" w:after="0" w:line="360" w:lineRule="auto"/>
              <w:ind w:firstLine="480"/>
              <w:jc w:val="both"/>
              <w:rPr>
                <w:rFonts w:ascii="宋体" w:hAnsi="宋体" w:eastAsia="宋体" w:cs="宋体"/>
                <w:b/>
                <w:bCs/>
                <w:sz w:val="24"/>
                <w:szCs w:val="24"/>
              </w:rPr>
            </w:pPr>
            <w:r>
              <w:rPr>
                <w:rFonts w:ascii="宋体" w:hAnsi="宋体" w:eastAsia="宋体" w:cs="宋体"/>
                <w:b/>
                <w:bCs/>
                <w:sz w:val="24"/>
                <w:szCs w:val="24"/>
              </w:rPr>
              <w:t>专业</w:t>
            </w:r>
          </w:p>
        </w:tc>
        <w:tc>
          <w:tcPr>
            <w:tcW w:w="5955" w:type="dxa"/>
            <w:tcBorders>
              <w:top w:val="single" w:color="000000" w:sz="6" w:space="0"/>
              <w:bottom w:val="single" w:color="000000" w:sz="6" w:space="0"/>
            </w:tcBorders>
            <w:tcMar>
              <w:end w:w="113" w:type="dxa"/>
            </w:tcMar>
            <w:vAlign w:val="center"/>
          </w:tcPr>
          <w:p>
            <w:pPr>
              <w:snapToGrid w:val="false"/>
              <w:spacing w:before="0" w:after="0" w:line="360" w:lineRule="auto"/>
              <w:ind w:firstLine="480"/>
              <w:jc w:val="both"/>
              <w:rPr>
                <w:rFonts w:ascii="宋体" w:hAnsi="宋体" w:eastAsia="宋体" w:cs="宋体"/>
                <w:b/>
                <w:bCs/>
                <w:color w:val="000000"/>
                <w:sz w:val="24"/>
                <w:szCs w:val="24"/>
              </w:rPr>
            </w:pPr>
            <w:r>
              <w:rPr>
                <w:rFonts w:ascii="宋体" w:hAnsi="宋体" w:eastAsia="宋体" w:cs="宋体"/>
                <w:b/>
                <w:bCs/>
                <w:color w:val="000000"/>
                <w:sz w:val="24"/>
                <w:szCs w:val="24"/>
              </w:rPr>
              <w:t>护理学</w:t>
            </w:r>
          </w:p>
        </w:tc>
      </w:tr>
      <w:tr>
        <w:trPr/>
        <w:tc>
          <w:tcPr>
            <w:tcW w:w="1860" w:type="dxa"/>
            <w:tcBorders/>
          </w:tcPr>
          <w:p>
            <w:pPr>
              <w:snapToGrid w:val="false"/>
              <w:spacing w:before="0" w:after="0" w:line="360" w:lineRule="auto"/>
              <w:ind w:firstLine="480"/>
              <w:jc w:val="both"/>
              <w:rPr>
                <w:rFonts w:ascii="宋体" w:hAnsi="宋体" w:eastAsia="宋体" w:cs="宋体"/>
                <w:b/>
                <w:bCs/>
                <w:sz w:val="24"/>
                <w:szCs w:val="24"/>
              </w:rPr>
            </w:pPr>
            <w:r>
              <w:rPr>
                <w:rFonts w:ascii="宋体" w:hAnsi="宋体" w:eastAsia="宋体" w:cs="宋体"/>
                <w:b/>
                <w:bCs/>
                <w:sz w:val="24"/>
                <w:szCs w:val="24"/>
              </w:rPr>
              <w:t>班级</w:t>
            </w:r>
          </w:p>
        </w:tc>
        <w:tc>
          <w:tcPr>
            <w:tcW w:w="5955" w:type="dxa"/>
            <w:tcBorders>
              <w:top w:val="single" w:color="000000" w:sz="6" w:space="0"/>
              <w:bottom w:val="single" w:color="000000" w:sz="6" w:space="0"/>
            </w:tcBorders>
            <w:tcMar>
              <w:end w:w="113" w:type="dxa"/>
            </w:tcMar>
            <w:vAlign w:val="center"/>
          </w:tcPr>
          <w:p>
            <w:pPr>
              <w:snapToGrid w:val="false"/>
              <w:spacing w:before="0" w:after="0" w:line="360" w:lineRule="auto"/>
              <w:ind w:firstLine="480"/>
              <w:jc w:val="both"/>
              <w:rPr>
                <w:rFonts w:ascii="宋体" w:hAnsi="宋体" w:eastAsia="宋体" w:cs="宋体"/>
                <w:sz w:val="24"/>
                <w:szCs w:val="24"/>
              </w:rPr>
            </w:pPr>
            <w:r>
              <w:rPr>
                <w:rFonts w:ascii="宋体" w:hAnsi="宋体" w:eastAsia="宋体" w:cs="宋体"/>
                <w:b/>
                <w:bCs/>
                <w:color w:val="000000"/>
                <w:sz w:val="24"/>
                <w:szCs w:val="24"/>
              </w:rPr>
              <w:t>202</w:t>
            </w:r>
            <w:r>
              <w:rPr>
                <w:rFonts w:ascii="宋体" w:hAnsi="宋体" w:eastAsia="宋体" w:cs="宋体"/>
                <w:b/>
                <w:bCs/>
                <w:color w:val="000000"/>
                <w:sz w:val="24"/>
                <w:szCs w:val="24"/>
              </w:rPr>
              <w:t>2</w:t>
            </w:r>
            <w:r>
              <w:rPr>
                <w:rFonts w:ascii="宋体" w:hAnsi="宋体" w:eastAsia="宋体" w:cs="宋体"/>
                <w:b/>
                <w:bCs/>
                <w:color w:val="000000"/>
                <w:sz w:val="24"/>
                <w:szCs w:val="24"/>
              </w:rPr>
              <w:t>级护理学</w:t>
            </w:r>
            <w:r>
              <w:rPr>
                <w:rFonts w:ascii="宋体" w:hAnsi="宋体" w:eastAsia="宋体" w:cs="宋体"/>
                <w:b/>
                <w:bCs/>
                <w:color w:val="000000"/>
                <w:sz w:val="24"/>
                <w:szCs w:val="24"/>
              </w:rPr>
              <w:t>5</w:t>
            </w:r>
            <w:r>
              <w:rPr>
                <w:rFonts w:ascii="宋体" w:hAnsi="宋体" w:eastAsia="宋体" w:cs="宋体"/>
                <w:b/>
                <w:bCs/>
                <w:color w:val="000000"/>
                <w:sz w:val="24"/>
                <w:szCs w:val="24"/>
              </w:rPr>
              <w:t>班</w:t>
            </w:r>
          </w:p>
        </w:tc>
      </w:tr>
      <w:tr>
        <w:trPr/>
        <w:tc>
          <w:tcPr>
            <w:tcW w:w="1860" w:type="dxa"/>
            <w:tcBorders/>
          </w:tcPr>
          <w:p>
            <w:pPr>
              <w:snapToGrid w:val="false"/>
              <w:spacing w:before="0" w:after="0" w:line="360" w:lineRule="auto"/>
              <w:ind w:firstLine="480"/>
              <w:jc w:val="both"/>
              <w:rPr>
                <w:rFonts w:ascii="宋体" w:hAnsi="宋体" w:eastAsia="宋体" w:cs="宋体"/>
                <w:b/>
                <w:bCs/>
                <w:sz w:val="24"/>
                <w:szCs w:val="24"/>
              </w:rPr>
            </w:pPr>
            <w:r>
              <w:rPr>
                <w:rFonts w:ascii="宋体" w:hAnsi="宋体" w:eastAsia="宋体" w:cs="宋体"/>
                <w:b/>
                <w:bCs/>
                <w:sz w:val="24"/>
                <w:szCs w:val="24"/>
              </w:rPr>
              <w:t>学号</w:t>
            </w:r>
          </w:p>
        </w:tc>
        <w:tc>
          <w:tcPr>
            <w:tcW w:w="5955" w:type="dxa"/>
            <w:tcBorders>
              <w:top w:val="single" w:color="000000" w:sz="6" w:space="0"/>
              <w:bottom w:val="single" w:color="000000" w:sz="6" w:space="0"/>
            </w:tcBorders>
            <w:tcMar>
              <w:end w:w="113" w:type="dxa"/>
            </w:tcMar>
          </w:tcPr>
          <w:p>
            <w:pPr>
              <w:snapToGrid w:val="false"/>
              <w:spacing w:before="0" w:after="0" w:line="360" w:lineRule="auto"/>
              <w:ind w:firstLine="480"/>
              <w:jc w:val="both"/>
              <w:rPr>
                <w:rFonts w:ascii="宋体" w:hAnsi="宋体" w:eastAsia="宋体" w:cs="宋体"/>
                <w:b/>
                <w:bCs/>
                <w:sz w:val="24"/>
                <w:szCs w:val="24"/>
              </w:rPr>
            </w:pPr>
            <w:r>
              <w:rPr>
                <w:rFonts w:ascii="宋体" w:hAnsi="宋体" w:eastAsia="宋体" w:cs="宋体"/>
                <w:b/>
                <w:bCs/>
                <w:sz w:val="24"/>
                <w:szCs w:val="24"/>
              </w:rPr>
              <w:t>20220152192</w:t>
            </w:r>
          </w:p>
        </w:tc>
      </w:tr>
      <w:tr>
        <w:trPr/>
        <w:tc>
          <w:tcPr>
            <w:tcW w:w="1860" w:type="dxa"/>
            <w:tcBorders/>
          </w:tcPr>
          <w:p>
            <w:pPr>
              <w:snapToGrid w:val="false"/>
              <w:spacing w:before="0" w:after="0" w:line="360" w:lineRule="auto"/>
              <w:ind w:firstLine="480"/>
              <w:jc w:val="both"/>
              <w:rPr>
                <w:rFonts w:ascii="宋体" w:hAnsi="宋体" w:eastAsia="宋体" w:cs="宋体"/>
                <w:b/>
                <w:bCs/>
                <w:sz w:val="24"/>
                <w:szCs w:val="24"/>
              </w:rPr>
            </w:pPr>
            <w:r>
              <w:rPr>
                <w:rFonts w:ascii="宋体" w:hAnsi="宋体" w:eastAsia="宋体" w:cs="宋体"/>
                <w:b/>
                <w:bCs/>
                <w:sz w:val="24"/>
                <w:szCs w:val="24"/>
              </w:rPr>
              <w:t>姓名</w:t>
            </w:r>
          </w:p>
        </w:tc>
        <w:tc>
          <w:tcPr>
            <w:tcW w:w="5955" w:type="dxa"/>
            <w:tcBorders>
              <w:top w:val="single" w:color="000000" w:sz="6" w:space="0"/>
              <w:bottom w:val="single" w:color="000000" w:sz="6" w:space="0"/>
            </w:tcBorders>
            <w:tcMar>
              <w:end w:w="113" w:type="dxa"/>
            </w:tcMar>
          </w:tcPr>
          <w:p>
            <w:pPr>
              <w:snapToGrid w:val="false"/>
              <w:spacing w:before="0" w:after="0" w:line="360" w:lineRule="auto"/>
              <w:ind w:firstLine="480"/>
              <w:jc w:val="both"/>
              <w:rPr>
                <w:rFonts w:ascii="宋体" w:hAnsi="宋体" w:eastAsia="宋体" w:cs="宋体"/>
                <w:b/>
                <w:bCs/>
                <w:sz w:val="24"/>
                <w:szCs w:val="24"/>
              </w:rPr>
            </w:pPr>
            <w:r>
              <w:rPr>
                <w:rFonts w:ascii="宋体" w:hAnsi="宋体" w:eastAsia="宋体" w:cs="宋体"/>
                <w:b/>
                <w:bCs/>
                <w:sz w:val="24"/>
                <w:szCs w:val="24"/>
              </w:rPr>
              <w:t>冉怡琴</w:t>
            </w:r>
          </w:p>
        </w:tc>
      </w:tr>
      <w:tr>
        <w:trPr/>
        <w:tc>
          <w:tcPr>
            <w:tcW w:w="1860" w:type="dxa"/>
            <w:tcBorders/>
          </w:tcPr>
          <w:p>
            <w:pPr>
              <w:snapToGrid w:val="false"/>
              <w:spacing w:before="0" w:after="0" w:line="360" w:lineRule="auto"/>
              <w:ind w:firstLine="480"/>
              <w:jc w:val="both"/>
              <w:rPr>
                <w:rFonts w:ascii="宋体" w:hAnsi="宋体" w:eastAsia="宋体" w:cs="宋体"/>
                <w:b/>
                <w:bCs/>
                <w:sz w:val="24"/>
                <w:szCs w:val="24"/>
              </w:rPr>
            </w:pPr>
            <w:r>
              <w:rPr>
                <w:rFonts w:ascii="宋体" w:hAnsi="宋体" w:eastAsia="宋体" w:cs="宋体"/>
                <w:b/>
                <w:bCs/>
                <w:sz w:val="24"/>
                <w:szCs w:val="24"/>
              </w:rPr>
              <w:t>指导教师</w:t>
            </w:r>
          </w:p>
        </w:tc>
        <w:tc>
          <w:tcPr>
            <w:tcW w:w="5955" w:type="dxa"/>
            <w:tcBorders>
              <w:top w:val="single" w:color="000000" w:sz="6" w:space="0"/>
              <w:bottom w:val="single" w:color="000000" w:sz="6" w:space="0"/>
            </w:tcBorders>
            <w:tcMar>
              <w:end w:w="113" w:type="dxa"/>
            </w:tcMar>
          </w:tcPr>
          <w:p>
            <w:pPr>
              <w:snapToGrid w:val="false"/>
              <w:spacing w:before="0" w:after="0" w:line="360" w:lineRule="auto"/>
              <w:ind w:firstLine="480"/>
              <w:jc w:val="both"/>
              <w:rPr>
                <w:rFonts w:ascii="宋体" w:hAnsi="宋体" w:eastAsia="宋体" w:cs="宋体"/>
                <w:b/>
                <w:bCs/>
                <w:sz w:val="24"/>
                <w:szCs w:val="24"/>
              </w:rPr>
            </w:pPr>
            <w:r>
              <w:rPr>
                <w:rFonts w:ascii="宋体" w:hAnsi="宋体" w:eastAsia="宋体" w:cs="宋体"/>
                <w:b/>
                <w:bCs/>
                <w:sz w:val="24"/>
                <w:szCs w:val="24"/>
              </w:rPr>
              <w:t>杨严政</w:t>
            </w:r>
          </w:p>
        </w:tc>
      </w:tr>
    </w:tbl>
    <w:p>
      <w:pPr>
        <w:pStyle w:val="Normal"/>
        <w:widowControl/>
        <w:tabs>
          <w:tab w:val="clear" w:pos="420"/>
          <w:tab w:val="left" w:leader="none" w:pos="3402"/>
        </w:tabs>
        <w:jc w:val="center"/>
        <w:rPr>
          <w:rFonts w:ascii="宋体;SimSun" w:hAnsi="宋体;SimSun" w:cs="宋体;SimSun"/>
          <w:b/>
          <w:bCs/>
          <w:sz w:val="32"/>
          <w:szCs w:val="32"/>
        </w:rPr>
      </w:pPr>
      <w:r>
        <w:rPr>
          <w:rFonts w:ascii="宋体;SimSun" w:hAnsi="宋体;SimSun" w:cs="宋体;SimSun"/>
          <w:b/>
          <w:bCs/>
          <w:sz w:val="32"/>
          <w:szCs w:val="32"/>
        </w:rPr>
      </w:r>
    </w:p>
    <w:p>
      <w:pPr>
        <w:pStyle w:val="Normal"/>
        <w:widowControl/>
        <w:tabs>
          <w:tab w:val="clear" w:pos="420"/>
          <w:tab w:val="left" w:leader="none" w:pos="3402"/>
        </w:tabs>
        <w:jc w:val="center"/>
        <w:rPr>
          <w:rFonts w:ascii="宋体;SimSun" w:hAnsi="宋体;SimSun" w:cs="宋体;SimSun"/>
          <w:b/>
          <w:bCs/>
          <w:sz w:val="32"/>
          <w:szCs w:val="32"/>
        </w:rPr>
      </w:pPr>
      <w:r>
        <w:rPr>
          <w:rFonts w:ascii="宋体;SimSun" w:hAnsi="宋体;SimSun" w:cs="宋体;SimSun"/>
          <w:b/>
          <w:bCs/>
          <w:sz w:val="32"/>
          <w:szCs w:val="32"/>
        </w:rPr>
      </w:r>
    </w:p>
    <w:p>
      <w:pPr>
        <w:pStyle w:val="Normal"/>
        <w:widowControl/>
        <w:tabs>
          <w:tab w:val="clear" w:pos="420"/>
          <w:tab w:val="left" w:leader="none" w:pos="3402"/>
        </w:tabs>
        <w:jc w:val="center"/>
        <w:rPr/>
      </w:pPr>
      <w:r>
        <w:rPr>
          <w:rFonts w:ascii="宋体;SimSun" w:hAnsi="宋体;SimSun" w:cs="宋体;SimSun"/>
          <w:b/>
          <w:bCs/>
          <w:sz w:val="32"/>
          <w:szCs w:val="32"/>
        </w:rPr>
        <w:t xml:space="preserve"> </w:t>
      </w:r>
      <w:r>
        <w:rPr>
          <w:rFonts w:ascii="宋体;SimSun" w:hAnsi="宋体;SimSun" w:cs="宋体;SimSun"/>
          <w:b/>
          <w:bCs/>
          <w:sz w:val="32"/>
          <w:szCs w:val="32"/>
        </w:rPr>
        <w:t>20</w:t>
      </w:r>
      <w:r>
        <w:rPr>
          <w:rFonts w:ascii="宋体;SimSun" w:hAnsi="宋体;SimSun" w:cs="宋体;SimSun"/>
          <w:b/>
          <w:bCs/>
          <w:sz w:val="32"/>
          <w:szCs w:val="32"/>
        </w:rPr>
        <w:t>26</w:t>
      </w:r>
      <w:r>
        <w:rPr>
          <w:rFonts w:ascii="宋体;SimSun" w:hAnsi="宋体;SimSun" w:cs="宋体;SimSun"/>
          <w:b/>
          <w:bCs/>
          <w:sz w:val="32"/>
          <w:szCs w:val="32"/>
        </w:rPr>
        <w:t xml:space="preserve">年 </w:t>
      </w:r>
      <w:r>
        <w:rPr>
          <w:rFonts w:ascii="宋体;SimSun" w:hAnsi="宋体;SimSun" w:cs="宋体;SimSun"/>
          <w:b/>
          <w:bCs/>
          <w:sz w:val="32"/>
          <w:szCs w:val="32"/>
        </w:rPr>
        <w:t xml:space="preserve">3  </w:t>
      </w:r>
      <w:r>
        <w:rPr>
          <w:rFonts w:ascii="宋体;SimSun" w:hAnsi="宋体;SimSun" w:cs="宋体;SimSun"/>
          <w:b/>
          <w:bCs/>
          <w:sz w:val="32"/>
          <w:szCs w:val="32"/>
        </w:rPr>
        <w:t>月</w:t>
      </w:r>
    </w:p>
    <w:p>
      <w:pPr>
        <w:pStyle w:val="Normal"/>
        <w:rPr>
          <w:rFonts w:ascii="宋体;SimSun" w:hAnsi="宋体;SimSun" w:cs="宋体;SimSun"/>
          <w:b/>
          <w:bCs/>
          <w:sz w:val="32"/>
          <w:szCs w:val="32"/>
        </w:rPr>
      </w:pPr>
      <w:r>
        <w:rPr>
          <w:rFonts w:ascii="宋体;SimSun" w:hAnsi="宋体;SimSun" w:cs="宋体;SimSun"/>
          <w:b/>
          <w:bCs/>
          <w:sz w:val="32"/>
          <w:szCs w:val="32"/>
        </w:rPr>
      </w:r>
    </w:p>
    <w:p>
      <w:pPr>
        <w:pStyle w:val="Normal"/>
        <w:spacing w:before="0" w:after="62" w:line="520" w:lineRule="exact"/>
        <w:rPr>
          <w:rFonts w:ascii="time;Times New Roman" w:hAnsi="time;Times New Roman" w:eastAsia="仿宋" w:cs="time;Times New Roman"/>
          <w:sz w:val="32"/>
          <w:szCs w:val="21"/>
        </w:rPr>
      </w:pPr>
      <w:r>
        <w:rPr>
          <w:rFonts w:ascii="time;Times New Roman" w:hAnsi="time;Times New Roman" w:eastAsia="仿宋" w:cs="time;Times New Roman"/>
          <w:sz w:val="32"/>
          <w:szCs w:val="21"/>
        </w:rPr>
      </w:r>
    </w:p>
    <w:p>
      <w:pPr>
        <w:pStyle w:val="Normal"/>
        <w:snapToGrid w:val="false"/>
        <w:spacing w:before="0" w:after="624"/>
        <w:jc w:val="center"/>
        <w:rPr>
          <w:rFonts w:ascii="time;Times New Roman" w:hAnsi="time;Times New Roman" w:eastAsia="黑体;SimHei" w:cs="time;Times New Roman"/>
          <w:szCs w:val="21"/>
        </w:rPr>
        <w:sectPr>
          <w:type w:val="nextPage"/>
        </w:sectPr>
      </w:pPr>
      <w:r>
        <w:rPr>
          <w:rFonts w:ascii="黑体;SimHei" w:hAnsi="黑体;SimHei" w:eastAsia="黑体;SimHei"/>
          <w:b/>
          <w:bCs/>
          <w:sz w:val="32"/>
          <w:szCs w:val="32"/>
        </w:rPr>
        <w:t>社区</w:t>
      </w:r>
      <w:r>
        <w:rPr>
          <w:rFonts w:ascii="黑体;SimHei" w:hAnsi="黑体;SimHei" w:eastAsia="黑体;SimHei"/>
          <w:b/>
          <w:bCs/>
          <w:sz w:val="32"/>
          <w:szCs w:val="32"/>
        </w:rPr>
        <w:t>2</w:t>
      </w:r>
      <w:r>
        <w:rPr>
          <w:rFonts w:ascii="黑体;SimHei" w:hAnsi="黑体;SimHei" w:eastAsia="黑体;SimHei"/>
          <w:b/>
          <w:bCs/>
          <w:sz w:val="32"/>
          <w:szCs w:val="32"/>
        </w:rPr>
        <w:t>型糖尿病患者疾病知识认知现状及影响因素分析</w:t>
      </w:r>
    </w:p>
    <w:p>
      <w:pPr>
        <w:spacing w:line="360" w:lineRule="auto"/>
        <w:ind w:firstLineChars="200"/>
      </w:pPr>
      <w:r>
        <w:rPr>
          <w:rFonts w:ascii="Times New Roman" w:hAnsi="Times New Roman" w:eastAsia="黑体"/>
          <w:sz w:val="24"/>
          <w:szCs w:val="24"/>
          <w:b/>
          <w:bCs/>
        </w:rPr>
        <w:t>摘要：</w:t>
      </w:r>
      <w:r>
        <w:rPr>
          <w:rFonts w:ascii="Times New Roman" w:hAnsi="Times New Roman" w:eastAsia="宋体"/>
          <w:sz w:val="24"/>
          <w:szCs w:val="24"/>
        </w:rPr>
        <w:t>目的  探讨社区二型糖尿病患者疾病知识认水平的影响因素。方法  选择2025年10月-2026年2月的社区二型糖尿病患者190例作为研究对象，采用由陈蔼玲翻译的密西根糖尿病知识测试问卷（DKT）中文版调查患者对疾病的认知水平，根据调查结果分为认知良好、认知一般、认知差，比较三组一般资料，分析社区二型糖尿病患者疾病知识认知水平的影响因素。结果：190例二型糖尿病患者中，15例患者疾病知识认知良好，53例患者疾病知识认知一般，122例患者疾病知识认知差。职业、居住地、文化程度、健康教育情况是社区二型糖尿病患者疾病知识认知水平的影响因素（P＜0.05）。结论：社区二型糖尿病患者认知情况较差，患者居住地、健康教育情况、文化程度情况是社区二型糖尿病患者疾病知识认知水平的影响因素，临床应针对不同人群多渠道加强个体化健康宣教，提高患者对该疾病的认知水平。</w:t>
      </w:r>
    </w:p>
    <w:p>
      <w:pPr>
        <w:spacing w:afterLines="200" w:line="360" w:lineRule="auto"/>
        <w:ind w:firstLineChars="200"/>
      </w:pPr>
      <w:r>
        <w:rPr>
          <w:rFonts w:ascii="Times New Roman" w:hAnsi="Times New Roman" w:eastAsia="黑体"/>
          <w:sz w:val="24"/>
          <w:szCs w:val="24"/>
          <w:b/>
          <w:bCs/>
        </w:rPr>
        <w:t>关键词：</w:t>
      </w:r>
      <w:r>
        <w:rPr>
          <w:rFonts w:ascii="Times New Roman" w:hAnsi="Times New Roman" w:eastAsia="宋体"/>
          <w:sz w:val="24"/>
          <w:szCs w:val="24"/>
        </w:rPr>
        <w:t>社区二型糖尿病；认知水平；影响因素</w:t>
      </w:r>
    </w:p>
    <w:p>
      <w:pPr>
        <w:spacing w:afterLines="200" w:line="360" w:lineRule="auto"/>
        <w:ind w:firstLineChars="200"/>
        <w:jc w:val="left"/>
      </w:pPr>
      <w:r>
        <w:rPr>
          <w:rFonts w:ascii="Times New Roman" w:hAnsi="Times New Roman" w:eastAsia="Times New Roman"/>
          <w:sz w:val="24"/>
          <w:szCs w:val="24"/>
          <w:b/>
          <w:bCs/>
        </w:rPr>
        <w:t>Abstract:</w:t>
      </w:r>
      <w:r>
        <w:rPr>
          <w:rFonts w:ascii="Times New Roman" w:hAnsi="Times New Roman" w:eastAsia="Times New Roman"/>
          <w:sz w:val="24"/>
          <w:szCs w:val="24"/>
        </w:rPr>
        <w:t>Objective To explore the influencing factors of disease knowledge of type 2 diabetes patients in community. Methods 190 community type 2 diabetes patients from October 2025 to February 2026 were selected as the study subjects. The Chinese version of the Michigan diabetes Knowledge Test (DKT) translated by Chen Ailing was used to investigate the patients' cognitive level of disease. According to the survey results, the patients were divided into good cognitive level, general cognitive level, and poor cognitive level. Three groups of general data were compared to analyze the influencing factors of the community type 2 diabetes patients' cognitive level of disease knowledge. Results: Among 190 patients with type 2 diabetes, 15 patients had good knowledge of disease, 53 patients had general knowledge of disease, and 122 patients had poor knowledge of disease. Occupation, place of residence, education level and health education were the influencing factors for the level of disease knowledge of type 2 diabetes patients in the community (P&lt;0.05). Conclusion: The cognition of type 2 diabetes patients in the community is poor. The living place, health education and education level of the patients are the influencing factors of the cognition level of the disease knowledge of type 2 diabetes patients in the community. The clinic should strengthen individualized health education for different groups of people through multiple channels to improve the cognition level of the patients on the disease.</w:t>
      </w:r>
    </w:p>
    <w:p>
      <w:pPr>
        <w:spacing w:before="240" w:line="360" w:lineRule="auto"/>
        <w:ind w:end="0" w:firstLine="602"/>
        <w:rPr>
          <w:rFonts w:ascii="Times New Roman" w:hAnsi="Times New Roman" w:eastAsia="Times New Roman" w:cs="Times New Roman"/>
          <w:bCs/>
          <w:sz w:val="24"/>
          <w:szCs w:val="24"/>
        </w:rPr>
        <w:sectPr>
          <w:type w:val="nextPage"/>
          <w:headerReference w:type="default" r:id="rIdCQRWSTHeader1"/>
          <w:footerReference w:type="default" r:id="rIdCQRWSTFooter1"/>
          <w:pgSz w:w="11906" w:h="16838"/>
          <w:pgMar w:top="1418" w:right="1134" w:bottom="1134" w:left="1418" w:header="851" w:footer="992" w:gutter="0"/>
          <w:pgNumType w:start="1" w:fmt="upperRoman"/>
        </w:sectPr>
      </w:pPr>
      <w:r>
        <w:rPr>
          <w:rFonts w:ascii="Times New Roman" w:hAnsi="Times New Roman" w:eastAsia="Times New Roman" w:cs="Times New Roman"/>
          <w:b/>
          <w:bCs/>
          <w:sz w:val="30"/>
          <w:szCs w:val="30"/>
        </w:rPr>
        <w:t>Key words:</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Community type 2 diabetes; Cognitive level; </w:t>
      </w:r>
      <w:r>
        <w:rPr>
          <w:rFonts w:ascii="Times New Roman" w:hAnsi="Times New Roman" w:eastAsia="Times New Roman" w:cs="Times New Roman"/>
          <w:sz w:val="24"/>
          <w:szCs w:val="24"/>
        </w:rPr>
        <w:t>I</w:t>
      </w:r>
      <w:r>
        <w:rPr>
          <w:rFonts w:ascii="Times New Roman" w:hAnsi="Times New Roman" w:eastAsia="Times New Roman" w:cs="Times New Roman"/>
          <w:sz w:val="24"/>
          <w:szCs w:val="24"/>
        </w:rPr>
        <w:t>nfluencing factors</w:t>
      </w:r>
      <w:r>
        <w:rPr>
          <w:rFonts w:ascii="Times New Roman" w:hAnsi="Times New Roman" w:eastAsia="Times New Roman" w:cs="Times New Roman"/>
          <w:sz w:val="24"/>
          <w:szCs w:val="24"/>
        </w:rPr>
        <w:t xml:space="preserve"> </w:t>
      </w:r>
    </w:p>
    <w:p>
      <w:pPr>
        <w:spacing w:before="0" w:after="624" w:line="360" w:lineRule="auto"/>
        <w:jc w:val="center"/>
        <w:rPr>
          <w:rFonts w:ascii="黑体" w:hAnsi="黑体" w:eastAsia="黑体" w:cs="黑体"/>
          <w:b/>
          <w:sz w:val="32"/>
          <w:szCs w:val="32"/>
        </w:rPr>
      </w:pPr>
      <w:r>
        <w:rPr>
          <w:rFonts w:ascii="黑体" w:hAnsi="黑体" w:eastAsia="黑体" w:cs="黑体"/>
          <w:b/>
          <w:bCs/>
          <w:sz w:val="32"/>
          <w:szCs w:val="32"/>
        </w:rPr>
        <w:t>目</w:t>
      </w:r>
      <w:r>
        <w:rPr>
          <w:rFonts w:ascii="黑体" w:hAnsi="黑体" w:eastAsia="黑体" w:cs="黑体"/>
          <w:b/>
          <w:bCs/>
          <w:sz w:val="32"/>
          <w:szCs w:val="32"/>
        </w:rPr>
        <w:t xml:space="preserve">      </w:t>
      </w:r>
      <w:r>
        <w:rPr>
          <w:rFonts w:ascii="黑体" w:hAnsi="黑体" w:eastAsia="黑体" w:cs="黑体"/>
          <w:b/>
          <w:bCs/>
          <w:sz w:val="32"/>
          <w:szCs w:val="32"/>
        </w:rPr>
        <w:t>录</w:t>
      </w:r>
    </w:p>
    <w:sdt>
      <w:sdtPr>
        <w:docPartObj>
          <w:docPartGallery w:val="Table of Contents"/>
          <w:docPartUnique w:val="true"/>
        </w:docPartObj>
      </w:sdtPr>
      <w:sdtContent>
        <w:p>
          <w:pPr>
            <w:spacing w:line="360" w:lineRule="auto"/>
            <w:ind w:firstLineChars="200"/>
            <w:pStyle w:val="TOC1"/>
            <w:tabs>
              <w:tab w:val="clear" w:pos="420"/>
              <w:tab w:val="right" w:leader="dot" w:pos="9344"/>
            </w:tabs>
            <w:rPr/>
          </w:pPr>
          <w:r>
            <w:rPr>
              <w:rFonts w:ascii="宋体" w:hAnsi="宋体" w:eastAsia=""/>
              <w:sz w:val="18"/>
              <w:szCs w:val="18"/>
              <w:b/>
              <w:bCs/>
            </w:rPr>
            <w:fldChar w:fldCharType="begin"/>
          </w:r>
          <w:r>
            <w:rPr>
              <w:rFonts w:ascii="宋体" w:hAnsi="宋体" w:eastAsia=""/>
              <w:sz w:val="18"/>
              <w:szCs w:val="18"/>
              <w:b/>
              <w:bCs/>
              <w:rStyle w:val="IndexLink"/>
              <w:lang w:val="en-US" w:eastAsia="en-US"/>
            </w:rPr>
            <w:instrText xml:space="preserve"> TOC \o "1-3" \h \z \u </w:instrText>
          </w:r>
          <w:r>
            <w:rPr>
              <w:rFonts w:ascii="宋体" w:hAnsi="宋体" w:eastAsia=""/>
              <w:sz w:val="18"/>
              <w:szCs w:val="18"/>
              <w:b/>
              <w:bCs/>
              <w:rStyle w:val="IndexLink"/>
              <w:lang w:val="en-US" w:eastAsia="en-US"/>
            </w:rPr>
            <w:fldChar w:fldCharType="separate"/>
          </w:r>
          <w:hyperlink w:anchor="__RefHeading___Toc224858169">
            <w:r>
              <w:rPr>
                <w:rFonts w:ascii="宋体" w:hAnsi="宋体" w:eastAsia=""/>
                <w:sz w:val="18"/>
                <w:szCs w:val="18"/>
                <w:b/>
                <w:bCs/>
                <w:rStyle w:val="IndexLink"/>
                <w:lang w:val="en-US" w:eastAsia="en-US"/>
              </w:rPr>
              <w:t>摘要：</w:t>
            </w:r>
            <w:r>
              <w:rPr>
                <w:rFonts w:ascii="宋体" w:hAnsi="宋体" w:eastAsia=""/>
                <w:sz w:val="18"/>
                <w:szCs w:val="18"/>
                <w:b/>
                <w:bCs/>
                <w:rStyle w:val="IndexLink"/>
              </w:rPr>
              <w:tab/>
            </w:r>
            <w:r>
              <w:rPr>
                <w:rFonts w:ascii="宋体" w:hAnsi="宋体" w:eastAsia=""/>
                <w:sz w:val="18"/>
                <w:szCs w:val="18"/>
                <w:b/>
                <w:bCs/>
                <w:rStyle w:val="IndexLink"/>
              </w:rPr>
              <w:t>I</w:t>
            </w:r>
          </w:hyperlink>
        </w:p>
        <w:p>
          <w:pPr>
            <w:spacing w:afterLines="200" w:line="360" w:lineRule="auto"/>
            <w:ind w:firstLineChars="200"/>
            <w:pStyle w:val="TOC1"/>
            <w:tabs>
              <w:tab w:val="clear" w:pos="420"/>
              <w:tab w:val="right" w:leader="dot" w:pos="9344"/>
            </w:tabs>
            <w:rPr>
              <w:rFonts w:ascii="宋体;SimSun" w:hAnsi="宋体;SimSun" w:cs="宋体;SimSun"/>
              <w:lang w:val="en-US" w:eastAsia="en-US"/>
            </w:rPr>
          </w:pPr>
          <w:hyperlink w:anchor="__RefHeading___Toc224858170">
            <w:r>
              <w:rPr>
                <w:rFonts w:ascii="time" w:hAnsi="time" w:eastAsia=""/>
                <w:sz w:val="30"/>
                <w:szCs w:val="30"/>
                <w:b/>
                <w:bCs/>
                <w:rStyle w:val="IndexLink"/>
                <w:lang w:val="en-US" w:eastAsia="en-US"/>
              </w:rPr>
              <w:t>关键词：</w:t>
            </w:r>
            <w:r>
              <w:rPr>
                <w:rFonts w:ascii="time" w:hAnsi="time" w:eastAsia=""/>
                <w:sz w:val="30"/>
                <w:szCs w:val="30"/>
                <w:b/>
                <w:bCs/>
                <w:rStyle w:val="IndexLink"/>
                <w:lang w:val="en-US" w:eastAsia="en-US"/>
              </w:rPr>
              <w:tab/>
            </w:r>
            <w:r>
              <w:rPr>
                <w:rFonts w:ascii="time" w:hAnsi="time" w:eastAsia=""/>
                <w:sz w:val="30"/>
                <w:szCs w:val="30"/>
                <w:b/>
                <w:bCs/>
                <w:rStyle w:val="IndexLink"/>
                <w:lang w:val="en-US" w:eastAsia="en-US"/>
              </w:rPr>
              <w:t>I</w:t>
            </w:r>
          </w:hyperlink>
        </w:p>
        <w:p>
          <w:pPr>
            <w:spacing w:beforeLines="100" w:afterLines="100"/>
            <w:jc w:val="left"/>
            <w:pStyle w:val="TOC1"/>
            <w:tabs>
              <w:tab w:val="clear" w:pos="420"/>
              <w:tab w:val="right" w:leader="dot" w:pos="9344"/>
            </w:tabs>
            <w:rPr/>
          </w:pPr>
          <w:hyperlink w:anchor="__RefHeading___Toc224858171">
            <w:r>
              <w:rPr>
                <w:rFonts w:ascii="宋体" w:hAnsi="宋体" w:eastAsia=""/>
                <w:sz w:val="32"/>
                <w:szCs w:val="32"/>
                <w:b/>
                <w:bCs/>
                <w:rStyle w:val="IndexLink"/>
                <w:lang w:val="en-US" w:eastAsia="en-US"/>
              </w:rPr>
              <w:t xml:space="preserve">1 </w:t>
            </w:r>
            <w:r>
              <w:rPr>
                <w:rFonts w:ascii="宋体" w:hAnsi="宋体" w:eastAsia=""/>
                <w:sz w:val="32"/>
                <w:szCs w:val="32"/>
                <w:b/>
                <w:bCs/>
                <w:rStyle w:val="IndexLink"/>
                <w:lang w:val="en-US" w:eastAsia="en-US"/>
              </w:rPr>
              <w:t>绪论</w:t>
            </w:r>
            <w:r>
              <w:rPr>
                <w:rFonts w:ascii="宋体" w:hAnsi="宋体" w:eastAsia=""/>
                <w:sz w:val="32"/>
                <w:szCs w:val="32"/>
                <w:b/>
                <w:bCs/>
                <w:rStyle w:val="IndexLink"/>
              </w:rPr>
              <w:tab/>
            </w:r>
            <w:r>
              <w:rPr>
                <w:rFonts w:ascii="宋体" w:hAnsi="宋体" w:eastAsia=""/>
                <w:sz w:val="32"/>
                <w:szCs w:val="32"/>
                <w:b/>
                <w:bCs/>
                <w:rStyle w:val="IndexLink"/>
              </w:rPr>
              <w:t>1</w:t>
            </w:r>
          </w:hyperlink>
        </w:p>
        <w:p>
          <w:pPr>
            <w:spacing w:line="360" w:lineRule="auto"/>
            <w:pStyle w:val="TOC2"/>
            <w:tabs>
              <w:tab w:val="clear" w:pos="420"/>
              <w:tab w:val="right" w:leader="dot" w:pos="9344"/>
            </w:tabs>
            <w:rPr/>
          </w:pPr>
          <w:hyperlink w:anchor="__RefHeading___Toc224858172">
            <w:r>
              <w:rPr>
                <w:rFonts w:ascii="宋体" w:hAnsi="宋体" w:eastAsia=""/>
                <w:sz w:val="30"/>
                <w:szCs w:val="30"/>
                <w:b/>
                <w:bCs/>
                <w:rStyle w:val="IndexLink"/>
                <w:lang w:val="en-US" w:eastAsia="en-US"/>
              </w:rPr>
              <w:t xml:space="preserve">1.1 </w:t>
            </w:r>
            <w:r>
              <w:rPr>
                <w:rFonts w:ascii="宋体" w:hAnsi="宋体" w:eastAsia=""/>
                <w:sz w:val="30"/>
                <w:szCs w:val="30"/>
                <w:b/>
                <w:bCs/>
                <w:rStyle w:val="IndexLink"/>
                <w:lang w:val="en-US" w:eastAsia="en-US"/>
              </w:rPr>
              <w:t>研究背景</w:t>
            </w:r>
            <w:r>
              <w:rPr>
                <w:rFonts w:ascii="宋体" w:hAnsi="宋体" w:eastAsia=""/>
                <w:sz w:val="30"/>
                <w:szCs w:val="30"/>
                <w:b/>
                <w:bCs/>
                <w:rStyle w:val="IndexLink"/>
              </w:rPr>
              <w:tab/>
            </w:r>
            <w:r>
              <w:rPr>
                <w:rFonts w:ascii="宋体" w:hAnsi="宋体" w:eastAsia=""/>
                <w:sz w:val="30"/>
                <w:szCs w:val="30"/>
                <w:b/>
                <w:bCs/>
                <w:rStyle w:val="IndexLink"/>
              </w:rPr>
              <w:t>1</w:t>
            </w:r>
          </w:hyperlink>
        </w:p>
        <w:p>
          <w:pPr>
            <w:pStyle w:val="TOC2"/>
            <w:tabs>
              <w:tab w:val="clear" w:pos="420"/>
              <w:tab w:val="right" w:leader="dot" w:pos="9344"/>
            </w:tabs>
            <w:spacing w:line="360" w:lineRule="auto"/>
            <w:rPr/>
          </w:pPr>
          <w:hyperlink w:anchor="__RefHeading___Toc224858173">
            <w:r>
              <w:rPr>
                <w:rStyle w:val="IndexLink"/>
                <w:rFonts w:ascii="宋体;SimSun" w:hAnsi="宋体;SimSun" w:cs="宋体;SimSun"/>
                <w:lang w:val="en-US" w:eastAsia="en-US"/>
              </w:rPr>
              <w:t>1.2</w:t>
            </w:r>
            <w:r>
              <w:rPr>
                <w:rStyle w:val="IndexLink"/>
                <w:rFonts w:ascii="宋体;SimSun" w:hAnsi="宋体;SimSun" w:cs="宋体;SimSun"/>
                <w:lang w:val="en-US" w:eastAsia="en-US"/>
              </w:rPr>
              <w:t>研究目的</w:t>
            </w:r>
            <w:r>
              <w:rPr>
                <w:rStyle w:val="IndexLink"/>
              </w:rPr>
              <w:tab/>
            </w:r>
            <w:r>
              <w:rPr>
                <w:rStyle w:val="IndexLink"/>
              </w:rPr>
              <w:t>1</w:t>
            </w:r>
          </w:hyperlink>
        </w:p>
        <w:p>
          <w:pPr>
            <w:pStyle w:val="TOC2"/>
            <w:tabs>
              <w:tab w:val="clear" w:pos="420"/>
              <w:tab w:val="right" w:leader="dot" w:pos="9344"/>
            </w:tabs>
            <w:spacing w:line="360" w:lineRule="auto"/>
            <w:rPr/>
          </w:pPr>
          <w:hyperlink w:anchor="__RefHeading___Toc224858174">
            <w:r>
              <w:rPr>
                <w:rStyle w:val="IndexLink"/>
                <w:rFonts w:ascii="宋体;SimSun" w:hAnsi="宋体;SimSun" w:cs="宋体;SimSun"/>
                <w:lang w:val="en-US" w:eastAsia="en-US"/>
              </w:rPr>
              <w:t>1.3</w:t>
            </w:r>
            <w:r>
              <w:rPr>
                <w:rStyle w:val="IndexLink"/>
                <w:rFonts w:ascii="宋体;SimSun" w:hAnsi="宋体;SimSun" w:cs="宋体;SimSun"/>
                <w:lang w:val="en-US" w:eastAsia="en-US"/>
              </w:rPr>
              <w:t>研究意义</w:t>
            </w:r>
            <w:r>
              <w:rPr>
                <w:rStyle w:val="IndexLink"/>
              </w:rPr>
              <w:tab/>
            </w:r>
            <w:r>
              <w:rPr>
                <w:rStyle w:val="IndexLink"/>
              </w:rPr>
              <w:t>1</w:t>
            </w:r>
          </w:hyperlink>
        </w:p>
        <w:p>
          <w:pPr>
            <w:pStyle w:val="TOC2"/>
            <w:tabs>
              <w:tab w:val="clear" w:pos="420"/>
              <w:tab w:val="right" w:leader="dot" w:pos="9344"/>
            </w:tabs>
            <w:spacing w:line="360" w:lineRule="auto"/>
            <w:rPr/>
          </w:pPr>
          <w:hyperlink w:anchor="__RefHeading___Toc224858175">
            <w:r>
              <w:rPr>
                <w:rStyle w:val="IndexLink"/>
                <w:rFonts w:ascii="宋体;SimSun" w:hAnsi="宋体;SimSun" w:cs="宋体;SimSun"/>
                <w:lang w:val="en-US" w:eastAsia="en-US"/>
              </w:rPr>
              <w:t>1.3</w:t>
            </w:r>
            <w:r>
              <w:rPr>
                <w:rStyle w:val="IndexLink"/>
                <w:rFonts w:ascii="宋体;SimSun" w:hAnsi="宋体;SimSun" w:cs="宋体;SimSun"/>
                <w:lang w:val="en-US" w:eastAsia="en-US"/>
              </w:rPr>
              <w:t>国内外研究现状：</w:t>
            </w:r>
            <w:r>
              <w:rPr>
                <w:rStyle w:val="IndexLink"/>
              </w:rPr>
              <w:tab/>
            </w:r>
            <w:r>
              <w:rPr>
                <w:rStyle w:val="IndexLink"/>
              </w:rPr>
              <w:t>2</w:t>
            </w:r>
          </w:hyperlink>
        </w:p>
        <w:p>
          <w:pPr>
            <w:pStyle w:val="TOC3"/>
            <w:tabs>
              <w:tab w:val="clear" w:pos="420"/>
              <w:tab w:val="right" w:leader="dot" w:pos="9344"/>
            </w:tabs>
            <w:spacing w:line="360" w:lineRule="auto"/>
            <w:rPr/>
          </w:pPr>
          <w:hyperlink w:anchor="__RefHeading___Toc224858176">
            <w:r>
              <w:rPr>
                <w:rStyle w:val="IndexLink"/>
                <w:rFonts w:ascii="宋体;SimSun" w:hAnsi="宋体;SimSun" w:cs="宋体;SimSun"/>
                <w:lang w:val="en-US" w:eastAsia="en-US"/>
              </w:rPr>
              <w:t>1.3.1</w:t>
            </w:r>
            <w:r>
              <w:rPr>
                <w:rStyle w:val="IndexLink"/>
                <w:rFonts w:ascii="宋体;SimSun" w:hAnsi="宋体;SimSun" w:cs="宋体;SimSun"/>
                <w:lang w:val="en-US" w:eastAsia="en-US"/>
              </w:rPr>
              <w:t>国内现状</w:t>
            </w:r>
            <w:r>
              <w:rPr>
                <w:rStyle w:val="IndexLink"/>
              </w:rPr>
              <w:tab/>
            </w:r>
            <w:r>
              <w:rPr>
                <w:rStyle w:val="IndexLink"/>
              </w:rPr>
              <w:t>2</w:t>
            </w:r>
          </w:hyperlink>
        </w:p>
        <w:p>
          <w:pPr>
            <w:pStyle w:val="TOC3"/>
            <w:tabs>
              <w:tab w:val="clear" w:pos="420"/>
              <w:tab w:val="right" w:leader="dot" w:pos="9344"/>
            </w:tabs>
            <w:spacing w:line="360" w:lineRule="auto"/>
            <w:rPr/>
          </w:pPr>
          <w:hyperlink w:anchor="__RefHeading___Toc224858177">
            <w:r>
              <w:rPr>
                <w:rStyle w:val="IndexLink"/>
                <w:rFonts w:ascii="宋体;SimSun" w:hAnsi="宋体;SimSun" w:cs="宋体;SimSun"/>
                <w:lang w:val="en-US" w:eastAsia="en-US"/>
              </w:rPr>
              <w:t>1.3.2</w:t>
            </w:r>
            <w:r>
              <w:rPr>
                <w:rStyle w:val="IndexLink"/>
                <w:rFonts w:ascii="宋体;SimSun" w:hAnsi="宋体;SimSun" w:cs="宋体;SimSun"/>
                <w:lang w:val="en-US" w:eastAsia="en-US"/>
              </w:rPr>
              <w:t>国外研究现状：</w:t>
            </w:r>
            <w:r>
              <w:rPr>
                <w:rStyle w:val="IndexLink"/>
              </w:rPr>
              <w:tab/>
            </w:r>
            <w:r>
              <w:rPr>
                <w:rStyle w:val="IndexLink"/>
              </w:rPr>
              <w:t>2</w:t>
            </w:r>
          </w:hyperlink>
        </w:p>
        <w:p>
          <w:pPr>
            <w:spacing w:beforeLines="100" w:afterLines="100"/>
            <w:jc w:val="left"/>
            <w:pStyle w:val="TOC1"/>
            <w:tabs>
              <w:tab w:val="clear" w:pos="420"/>
              <w:tab w:val="right" w:leader="dot" w:pos="9344"/>
            </w:tabs>
            <w:rPr/>
          </w:pPr>
          <w:hyperlink w:anchor="__RefHeading___Toc224858178">
            <w:r>
              <w:rPr>
                <w:rFonts w:ascii="宋体" w:hAnsi="宋体" w:eastAsia=""/>
                <w:sz w:val="32"/>
                <w:szCs w:val="32"/>
                <w:b/>
                <w:bCs/>
                <w:rStyle w:val="IndexLink"/>
                <w:lang w:val="en-US" w:eastAsia="en-US"/>
              </w:rPr>
              <w:t xml:space="preserve">2 </w:t>
            </w:r>
            <w:r>
              <w:rPr>
                <w:rFonts w:ascii="宋体" w:hAnsi="宋体" w:eastAsia=""/>
                <w:sz w:val="32"/>
                <w:szCs w:val="32"/>
                <w:b/>
                <w:bCs/>
                <w:rStyle w:val="IndexLink"/>
                <w:lang w:val="en-US" w:eastAsia="en-US"/>
              </w:rPr>
              <w:t>研究对象与方法</w:t>
            </w:r>
            <w:r>
              <w:rPr>
                <w:rFonts w:ascii="宋体" w:hAnsi="宋体" w:eastAsia=""/>
                <w:sz w:val="32"/>
                <w:szCs w:val="32"/>
                <w:b/>
                <w:bCs/>
                <w:rStyle w:val="IndexLink"/>
              </w:rPr>
              <w:tab/>
            </w:r>
            <w:r>
              <w:rPr>
                <w:rFonts w:ascii="宋体" w:hAnsi="宋体" w:eastAsia=""/>
                <w:sz w:val="32"/>
                <w:szCs w:val="32"/>
                <w:b/>
                <w:bCs/>
                <w:rStyle w:val="IndexLink"/>
              </w:rPr>
              <w:t>2</w:t>
            </w:r>
          </w:hyperlink>
        </w:p>
        <w:p>
          <w:pPr>
            <w:spacing w:line="360" w:lineRule="auto"/>
            <w:pStyle w:val="TOC2"/>
            <w:tabs>
              <w:tab w:val="clear" w:pos="420"/>
              <w:tab w:val="right" w:leader="dot" w:pos="9344"/>
            </w:tabs>
            <w:rPr/>
          </w:pPr>
          <w:hyperlink w:anchor="__RefHeading___Toc224858179">
            <w:r>
              <w:rPr>
                <w:rFonts w:ascii="宋体" w:hAnsi="宋体" w:eastAsia=""/>
                <w:sz w:val="30"/>
                <w:szCs w:val="30"/>
                <w:b/>
                <w:bCs/>
                <w:rStyle w:val="IndexLink"/>
                <w:lang w:val="en-US" w:eastAsia="en-US"/>
              </w:rPr>
              <w:t xml:space="preserve">2.1 </w:t>
            </w:r>
            <w:r>
              <w:rPr>
                <w:rFonts w:ascii="宋体" w:hAnsi="宋体" w:eastAsia=""/>
                <w:sz w:val="30"/>
                <w:szCs w:val="30"/>
                <w:b/>
                <w:bCs/>
                <w:rStyle w:val="IndexLink"/>
                <w:lang w:val="en-US" w:eastAsia="en-US"/>
              </w:rPr>
              <w:t>研究对象</w:t>
            </w:r>
            <w:r>
              <w:rPr>
                <w:rFonts w:ascii="宋体" w:hAnsi="宋体" w:eastAsia=""/>
                <w:sz w:val="30"/>
                <w:szCs w:val="30"/>
                <w:b/>
                <w:bCs/>
                <w:rStyle w:val="IndexLink"/>
              </w:rPr>
              <w:tab/>
            </w:r>
            <w:r>
              <w:rPr>
                <w:rFonts w:ascii="宋体" w:hAnsi="宋体" w:eastAsia=""/>
                <w:sz w:val="30"/>
                <w:szCs w:val="30"/>
                <w:b/>
                <w:bCs/>
                <w:rStyle w:val="IndexLink"/>
              </w:rPr>
              <w:t>2</w:t>
            </w:r>
          </w:hyperlink>
        </w:p>
        <w:p>
          <w:pPr>
            <w:spacing w:line="360" w:lineRule="auto"/>
            <w:pStyle w:val="TOC3"/>
            <w:tabs>
              <w:tab w:val="clear" w:pos="420"/>
              <w:tab w:val="right" w:leader="dot" w:pos="9344"/>
            </w:tabs>
            <w:rPr/>
          </w:pPr>
          <w:hyperlink w:anchor="__RefHeading___Toc224858180">
            <w:r>
              <w:rPr>
                <w:rFonts w:ascii="宋体" w:hAnsi="宋体" w:eastAsia=""/>
                <w:sz w:val="28"/>
                <w:szCs w:val="28"/>
                <w:b/>
                <w:bCs/>
                <w:rStyle w:val="IndexLink"/>
                <w:lang w:val="en-US" w:eastAsia="en-US"/>
              </w:rPr>
              <w:t xml:space="preserve">2.1.1 </w:t>
            </w:r>
            <w:r>
              <w:rPr>
                <w:rFonts w:ascii="宋体" w:hAnsi="宋体" w:eastAsia=""/>
                <w:sz w:val="28"/>
                <w:szCs w:val="28"/>
                <w:b/>
                <w:bCs/>
                <w:rStyle w:val="IndexLink"/>
                <w:lang w:val="en-US" w:eastAsia="en-US"/>
              </w:rPr>
              <w:t>研究对象选择</w:t>
            </w:r>
            <w:r>
              <w:rPr>
                <w:rFonts w:ascii="宋体" w:hAnsi="宋体" w:eastAsia=""/>
                <w:sz w:val="28"/>
                <w:szCs w:val="28"/>
                <w:b/>
                <w:bCs/>
                <w:rStyle w:val="IndexLink"/>
              </w:rPr>
              <w:tab/>
            </w:r>
            <w:r>
              <w:rPr>
                <w:rFonts w:ascii="宋体" w:hAnsi="宋体" w:eastAsia=""/>
                <w:sz w:val="28"/>
                <w:szCs w:val="28"/>
                <w:b/>
                <w:bCs/>
                <w:rStyle w:val="IndexLink"/>
              </w:rPr>
              <w:t>2</w:t>
            </w:r>
          </w:hyperlink>
        </w:p>
        <w:p>
          <w:pPr>
            <w:spacing w:line="360" w:lineRule="auto"/>
            <w:pStyle w:val="TOC3"/>
            <w:tabs>
              <w:tab w:val="clear" w:pos="420"/>
              <w:tab w:val="right" w:leader="dot" w:pos="9344"/>
            </w:tabs>
            <w:rPr/>
          </w:pPr>
          <w:hyperlink w:anchor="__RefHeading___Toc224858181">
            <w:r>
              <w:rPr>
                <w:rFonts w:ascii="宋体" w:hAnsi="宋体" w:eastAsia=""/>
                <w:sz w:val="28"/>
                <w:szCs w:val="28"/>
                <w:b/>
                <w:bCs/>
                <w:rStyle w:val="IndexLink"/>
                <w:lang w:val="en-US" w:eastAsia="en-US"/>
              </w:rPr>
              <w:t xml:space="preserve">2.1.2 </w:t>
            </w:r>
            <w:r>
              <w:rPr>
                <w:rFonts w:ascii="宋体" w:hAnsi="宋体" w:eastAsia=""/>
                <w:sz w:val="28"/>
                <w:szCs w:val="28"/>
                <w:b/>
                <w:bCs/>
                <w:rStyle w:val="IndexLink"/>
                <w:lang w:val="en-US" w:eastAsia="en-US"/>
              </w:rPr>
              <w:t>纳入标准</w:t>
            </w:r>
            <w:r>
              <w:rPr>
                <w:rFonts w:ascii="宋体" w:hAnsi="宋体" w:eastAsia=""/>
                <w:sz w:val="28"/>
                <w:szCs w:val="28"/>
                <w:b/>
                <w:bCs/>
                <w:rStyle w:val="IndexLink"/>
              </w:rPr>
              <w:tab/>
            </w:r>
            <w:r>
              <w:rPr>
                <w:rFonts w:ascii="宋体" w:hAnsi="宋体" w:eastAsia=""/>
                <w:sz w:val="28"/>
                <w:szCs w:val="28"/>
                <w:b/>
                <w:bCs/>
                <w:rStyle w:val="IndexLink"/>
              </w:rPr>
              <w:t>3</w:t>
            </w:r>
          </w:hyperlink>
        </w:p>
        <w:p>
          <w:pPr>
            <w:spacing w:line="360" w:lineRule="auto"/>
            <w:pStyle w:val="TOC3"/>
            <w:tabs>
              <w:tab w:val="clear" w:pos="420"/>
              <w:tab w:val="right" w:leader="dot" w:pos="9344"/>
            </w:tabs>
            <w:rPr/>
          </w:pPr>
          <w:hyperlink w:anchor="__RefHeading___Toc224858182">
            <w:r>
              <w:rPr>
                <w:rFonts w:ascii="宋体" w:hAnsi="宋体" w:eastAsia=""/>
                <w:sz w:val="28"/>
                <w:szCs w:val="28"/>
                <w:b/>
                <w:bCs/>
                <w:rStyle w:val="IndexLink"/>
                <w:lang w:val="en-US" w:eastAsia="en-US"/>
              </w:rPr>
              <w:t xml:space="preserve">2.1.3 </w:t>
            </w:r>
            <w:r>
              <w:rPr>
                <w:rFonts w:ascii="宋体" w:hAnsi="宋体" w:eastAsia=""/>
                <w:sz w:val="28"/>
                <w:szCs w:val="28"/>
                <w:b/>
                <w:bCs/>
                <w:rStyle w:val="IndexLink"/>
                <w:lang w:val="en-US" w:eastAsia="en-US"/>
              </w:rPr>
              <w:t>排除标准</w:t>
            </w:r>
            <w:r>
              <w:rPr>
                <w:rFonts w:ascii="宋体" w:hAnsi="宋体" w:eastAsia=""/>
                <w:sz w:val="28"/>
                <w:szCs w:val="28"/>
                <w:b/>
                <w:bCs/>
                <w:rStyle w:val="IndexLink"/>
              </w:rPr>
              <w:tab/>
            </w:r>
            <w:r>
              <w:rPr>
                <w:rFonts w:ascii="宋体" w:hAnsi="宋体" w:eastAsia=""/>
                <w:sz w:val="28"/>
                <w:szCs w:val="28"/>
                <w:b/>
                <w:bCs/>
                <w:rStyle w:val="IndexLink"/>
              </w:rPr>
              <w:t>3</w:t>
            </w:r>
          </w:hyperlink>
        </w:p>
        <w:p>
          <w:pPr>
            <w:spacing w:line="360" w:lineRule="auto"/>
            <w:pStyle w:val="TOC3"/>
            <w:tabs>
              <w:tab w:val="clear" w:pos="420"/>
              <w:tab w:val="right" w:leader="dot" w:pos="9344"/>
            </w:tabs>
            <w:rPr/>
          </w:pPr>
          <w:hyperlink w:anchor="__RefHeading___Toc224858183">
            <w:r>
              <w:rPr>
                <w:rFonts w:ascii="宋体" w:hAnsi="宋体" w:eastAsia=""/>
                <w:sz w:val="28"/>
                <w:szCs w:val="28"/>
                <w:b/>
                <w:bCs/>
                <w:rStyle w:val="IndexLink"/>
                <w:lang w:val="en-US" w:eastAsia="en-US"/>
              </w:rPr>
              <w:t xml:space="preserve">2.1.4 </w:t>
            </w:r>
            <w:r>
              <w:rPr>
                <w:rFonts w:ascii="宋体" w:hAnsi="宋体" w:eastAsia=""/>
                <w:sz w:val="28"/>
                <w:szCs w:val="28"/>
                <w:b/>
                <w:bCs/>
                <w:rStyle w:val="IndexLink"/>
                <w:lang w:val="en-US" w:eastAsia="en-US"/>
              </w:rPr>
              <w:t>样本量的计算</w:t>
            </w:r>
            <w:r>
              <w:rPr>
                <w:rFonts w:ascii="宋体" w:hAnsi="宋体" w:eastAsia=""/>
                <w:sz w:val="28"/>
                <w:szCs w:val="28"/>
                <w:b/>
                <w:bCs/>
                <w:rStyle w:val="IndexLink"/>
              </w:rPr>
              <w:tab/>
            </w:r>
            <w:r>
              <w:rPr>
                <w:rFonts w:ascii="宋体" w:hAnsi="宋体" w:eastAsia=""/>
                <w:sz w:val="28"/>
                <w:szCs w:val="28"/>
                <w:b/>
                <w:bCs/>
                <w:rStyle w:val="IndexLink"/>
              </w:rPr>
              <w:t>3</w:t>
            </w:r>
          </w:hyperlink>
        </w:p>
        <w:p>
          <w:pPr>
            <w:pStyle w:val="TOC3"/>
            <w:tabs>
              <w:tab w:val="clear" w:pos="420"/>
              <w:tab w:val="right" w:leader="dot" w:pos="9344"/>
            </w:tabs>
            <w:spacing w:line="360" w:lineRule="auto"/>
            <w:rPr/>
          </w:pPr>
          <w:hyperlink w:anchor="__RefHeading___Toc224858184">
            <w:r>
              <w:rPr>
                <w:rStyle w:val="IndexLink"/>
                <w:rFonts w:ascii="宋体;SimSun" w:hAnsi="宋体;SimSun" w:cs="宋体;SimSun"/>
                <w:lang w:val="en-US" w:eastAsia="en-US"/>
              </w:rPr>
              <w:t>2.1.5</w:t>
            </w:r>
            <w:r>
              <w:rPr>
                <w:rStyle w:val="IndexLink"/>
                <w:rFonts w:ascii="宋体;SimSun" w:hAnsi="宋体;SimSun" w:cs="宋体;SimSun"/>
                <w:lang w:val="en-US" w:eastAsia="en-US"/>
              </w:rPr>
              <w:t>统计方法</w:t>
            </w:r>
            <w:r>
              <w:rPr>
                <w:rStyle w:val="IndexLink"/>
              </w:rPr>
              <w:tab/>
            </w:r>
            <w:r>
              <w:rPr>
                <w:rStyle w:val="IndexLink"/>
              </w:rPr>
              <w:t>3</w:t>
            </w:r>
          </w:hyperlink>
        </w:p>
        <w:p>
          <w:pPr>
            <w:pStyle w:val="TOC3"/>
            <w:tabs>
              <w:tab w:val="clear" w:pos="420"/>
              <w:tab w:val="right" w:leader="dot" w:pos="9344"/>
            </w:tabs>
            <w:spacing w:line="360" w:lineRule="auto"/>
            <w:rPr/>
          </w:pPr>
          <w:hyperlink w:anchor="__RefHeading___Toc224858185">
            <w:r>
              <w:rPr>
                <w:rStyle w:val="IndexLink"/>
                <w:rFonts w:ascii="宋体;SimSun" w:hAnsi="宋体;SimSun" w:cs="宋体;SimSun"/>
                <w:lang w:val="en-US" w:eastAsia="en-US"/>
              </w:rPr>
              <w:t>2.1.6</w:t>
            </w:r>
            <w:r>
              <w:rPr>
                <w:rStyle w:val="IndexLink"/>
                <w:rFonts w:ascii="宋体;SimSun" w:hAnsi="宋体;SimSun" w:cs="宋体;SimSun"/>
                <w:lang w:val="en-US" w:eastAsia="en-US"/>
              </w:rPr>
              <w:t>技术路线图</w:t>
            </w:r>
            <w:r>
              <w:rPr>
                <w:rStyle w:val="IndexLink"/>
              </w:rPr>
              <w:tab/>
            </w:r>
            <w:r>
              <w:rPr>
                <w:rStyle w:val="IndexLink"/>
              </w:rPr>
              <w:t>3</w:t>
            </w:r>
          </w:hyperlink>
        </w:p>
        <w:p>
          <w:pPr>
            <w:spacing w:line="360" w:lineRule="auto"/>
            <w:pStyle w:val="TOC2"/>
            <w:tabs>
              <w:tab w:val="clear" w:pos="420"/>
              <w:tab w:val="right" w:leader="dot" w:pos="9344"/>
            </w:tabs>
            <w:rPr/>
          </w:pPr>
          <w:hyperlink w:anchor="__RefHeading___Toc224858186">
            <w:r>
              <w:rPr>
                <w:rFonts w:ascii="宋体" w:hAnsi="宋体" w:eastAsia=""/>
                <w:sz w:val="30"/>
                <w:szCs w:val="30"/>
                <w:b/>
                <w:bCs/>
                <w:rStyle w:val="IndexLink"/>
                <w:lang w:val="en-US" w:eastAsia="en-US"/>
              </w:rPr>
              <w:t xml:space="preserve">2.2 </w:t>
            </w:r>
            <w:r>
              <w:rPr>
                <w:rFonts w:ascii="宋体" w:hAnsi="宋体" w:eastAsia=""/>
                <w:sz w:val="30"/>
                <w:szCs w:val="30"/>
                <w:b/>
                <w:bCs/>
                <w:rStyle w:val="IndexLink"/>
                <w:lang w:val="en-US" w:eastAsia="en-US"/>
              </w:rPr>
              <w:t>研究工具</w:t>
            </w:r>
            <w:r>
              <w:rPr>
                <w:rFonts w:ascii="宋体" w:hAnsi="宋体" w:eastAsia=""/>
                <w:sz w:val="30"/>
                <w:szCs w:val="30"/>
                <w:b/>
                <w:bCs/>
                <w:rStyle w:val="IndexLink"/>
              </w:rPr>
              <w:tab/>
            </w:r>
            <w:r>
              <w:rPr>
                <w:rFonts w:ascii="宋体" w:hAnsi="宋体" w:eastAsia=""/>
                <w:sz w:val="30"/>
                <w:szCs w:val="30"/>
                <w:b/>
                <w:bCs/>
                <w:rStyle w:val="IndexLink"/>
              </w:rPr>
              <w:t>4</w:t>
            </w:r>
          </w:hyperlink>
        </w:p>
        <w:p>
          <w:pPr>
            <w:spacing w:line="360" w:lineRule="auto"/>
            <w:pStyle w:val="TOC3"/>
            <w:tabs>
              <w:tab w:val="clear" w:pos="420"/>
              <w:tab w:val="right" w:leader="dot" w:pos="9344"/>
            </w:tabs>
            <w:rPr/>
          </w:pPr>
          <w:hyperlink w:anchor="__RefHeading___Toc224858187">
            <w:r>
              <w:rPr>
                <w:rFonts w:ascii="宋体" w:hAnsi="宋体" w:eastAsia=""/>
                <w:sz w:val="28"/>
                <w:szCs w:val="28"/>
                <w:b/>
                <w:bCs/>
                <w:rStyle w:val="IndexLink"/>
                <w:lang w:val="en-US" w:eastAsia="en-US"/>
              </w:rPr>
              <w:t xml:space="preserve">2.2.1 </w:t>
            </w:r>
            <w:r>
              <w:rPr>
                <w:rFonts w:ascii="宋体" w:hAnsi="宋体" w:eastAsia=""/>
                <w:sz w:val="28"/>
                <w:szCs w:val="28"/>
                <w:b/>
                <w:bCs/>
                <w:rStyle w:val="IndexLink"/>
                <w:lang w:val="en-US" w:eastAsia="en-US"/>
              </w:rPr>
              <w:t>患者一般资料调查表</w:t>
            </w:r>
            <w:r>
              <w:rPr>
                <w:rFonts w:ascii="宋体" w:hAnsi="宋体" w:eastAsia=""/>
                <w:sz w:val="28"/>
                <w:szCs w:val="28"/>
                <w:b/>
                <w:bCs/>
                <w:rStyle w:val="IndexLink"/>
              </w:rPr>
              <w:tab/>
            </w:r>
            <w:r>
              <w:rPr>
                <w:rFonts w:ascii="宋体" w:hAnsi="宋体" w:eastAsia=""/>
                <w:sz w:val="28"/>
                <w:szCs w:val="28"/>
                <w:b/>
                <w:bCs/>
                <w:rStyle w:val="IndexLink"/>
              </w:rPr>
              <w:t>4</w:t>
            </w:r>
          </w:hyperlink>
        </w:p>
        <w:p>
          <w:pPr>
            <w:spacing w:line="360" w:lineRule="auto"/>
            <w:pStyle w:val="TOC3"/>
            <w:tabs>
              <w:tab w:val="clear" w:pos="420"/>
              <w:tab w:val="right" w:leader="dot" w:pos="9344"/>
            </w:tabs>
            <w:rPr/>
          </w:pPr>
          <w:hyperlink w:anchor="__RefHeading___Toc224858188">
            <w:r>
              <w:rPr>
                <w:rFonts w:ascii="宋体" w:hAnsi="宋体" w:eastAsia=""/>
                <w:sz w:val="28"/>
                <w:szCs w:val="28"/>
                <w:b/>
                <w:bCs/>
                <w:rStyle w:val="IndexLink"/>
                <w:lang w:val="en-US" w:eastAsia="en-US"/>
              </w:rPr>
              <w:t xml:space="preserve">2.2.2 </w:t>
            </w:r>
            <w:r>
              <w:rPr>
                <w:rFonts w:ascii="宋体" w:hAnsi="宋体" w:eastAsia=""/>
                <w:sz w:val="28"/>
                <w:szCs w:val="28"/>
                <w:b/>
                <w:bCs/>
                <w:rStyle w:val="IndexLink"/>
                <w:lang w:val="en-US" w:eastAsia="en-US"/>
              </w:rPr>
              <w:t>糖尿病知识测试问卷量表</w:t>
            </w:r>
            <w:r>
              <w:rPr>
                <w:rFonts w:ascii="宋体" w:hAnsi="宋体" w:eastAsia=""/>
                <w:sz w:val="28"/>
                <w:szCs w:val="28"/>
                <w:b/>
                <w:bCs/>
                <w:rStyle w:val="IndexLink"/>
              </w:rPr>
              <w:tab/>
            </w:r>
            <w:r>
              <w:rPr>
                <w:rFonts w:ascii="宋体" w:hAnsi="宋体" w:eastAsia=""/>
                <w:sz w:val="28"/>
                <w:szCs w:val="28"/>
                <w:b/>
                <w:bCs/>
                <w:rStyle w:val="IndexLink"/>
              </w:rPr>
              <w:t>4</w:t>
            </w:r>
          </w:hyperlink>
        </w:p>
        <w:p>
          <w:pPr>
            <w:pStyle w:val="TOC1"/>
            <w:tabs>
              <w:tab w:val="clear" w:pos="420"/>
              <w:tab w:val="right" w:leader="dot" w:pos="9344"/>
            </w:tabs>
            <w:spacing w:line="360" w:lineRule="auto"/>
            <w:rPr/>
          </w:pPr>
          <w:hyperlink w:anchor="__RefHeading___Toc224858189">
            <w:r>
              <w:rPr>
                <w:rStyle w:val="IndexLink"/>
                <w:rFonts w:ascii="宋体;SimSun" w:hAnsi="宋体;SimSun" w:cs="宋体;SimSun"/>
                <w:lang w:val="en-US" w:eastAsia="en-US"/>
              </w:rPr>
              <w:t>3</w:t>
            </w:r>
            <w:r>
              <w:rPr>
                <w:rStyle w:val="IndexLink"/>
                <w:rFonts w:ascii="宋体;SimSun" w:hAnsi="宋体;SimSun" w:cs="宋体;SimSun"/>
                <w:lang w:val="en-US" w:eastAsia="en-US"/>
              </w:rPr>
              <w:t>研究结果</w:t>
            </w:r>
            <w:r>
              <w:rPr>
                <w:rStyle w:val="IndexLink"/>
              </w:rPr>
              <w:tab/>
            </w:r>
            <w:r>
              <w:rPr>
                <w:rStyle w:val="IndexLink"/>
              </w:rPr>
              <w:t>4</w:t>
            </w:r>
          </w:hyperlink>
        </w:p>
        <w:p>
          <w:pPr>
            <w:spacing w:line="360" w:lineRule="auto"/>
            <w:pStyle w:val="TOC2"/>
            <w:tabs>
              <w:tab w:val="clear" w:pos="420"/>
              <w:tab w:val="right" w:leader="dot" w:pos="9344"/>
            </w:tabs>
            <w:rPr/>
          </w:pPr>
          <w:hyperlink w:anchor="__RefHeading___Toc224858190">
            <w:r>
              <w:rPr>
                <w:rFonts w:ascii="宋体" w:hAnsi="宋体" w:eastAsia=""/>
                <w:sz w:val="30"/>
                <w:szCs w:val="30"/>
                <w:b/>
                <w:bCs/>
                <w:rStyle w:val="IndexLink"/>
                <w:lang w:val="en-US" w:eastAsia="en-US"/>
              </w:rPr>
              <w:t xml:space="preserve">3.1 </w:t>
            </w:r>
            <w:r>
              <w:rPr>
                <w:rFonts w:ascii="宋体" w:hAnsi="宋体" w:eastAsia=""/>
                <w:sz w:val="30"/>
                <w:szCs w:val="30"/>
                <w:b/>
                <w:bCs/>
                <w:rStyle w:val="IndexLink"/>
                <w:lang w:val="en-US" w:eastAsia="en-US"/>
              </w:rPr>
              <w:t>研究样本的基本特征分布</w:t>
            </w:r>
            <w:r>
              <w:rPr>
                <w:rFonts w:ascii="宋体" w:hAnsi="宋体" w:eastAsia=""/>
                <w:sz w:val="30"/>
                <w:szCs w:val="30"/>
                <w:b/>
                <w:bCs/>
                <w:rStyle w:val="IndexLink"/>
              </w:rPr>
              <w:tab/>
            </w:r>
            <w:r>
              <w:rPr>
                <w:rFonts w:ascii="宋体" w:hAnsi="宋体" w:eastAsia=""/>
                <w:sz w:val="30"/>
                <w:szCs w:val="30"/>
                <w:b/>
                <w:bCs/>
                <w:rStyle w:val="IndexLink"/>
              </w:rPr>
              <w:t>4</w:t>
            </w:r>
          </w:hyperlink>
        </w:p>
        <w:p>
          <w:pPr>
            <w:spacing w:line="360" w:lineRule="auto"/>
            <w:pStyle w:val="TOC2"/>
            <w:tabs>
              <w:tab w:val="clear" w:pos="420"/>
              <w:tab w:val="right" w:leader="dot" w:pos="9344"/>
            </w:tabs>
            <w:rPr/>
          </w:pPr>
          <w:hyperlink w:anchor="__RefHeading___Toc224858191">
            <w:r>
              <w:rPr>
                <w:rFonts w:ascii="宋体" w:hAnsi="宋体" w:eastAsia=""/>
                <w:sz w:val="30"/>
                <w:szCs w:val="30"/>
                <w:b/>
                <w:bCs/>
                <w:rStyle w:val="IndexLink"/>
                <w:lang w:val="en-US" w:eastAsia="en-US"/>
              </w:rPr>
              <w:t xml:space="preserve">3.2 </w:t>
            </w:r>
            <w:r>
              <w:rPr>
                <w:rFonts w:ascii="宋体" w:hAnsi="宋体" w:eastAsia=""/>
                <w:sz w:val="30"/>
                <w:szCs w:val="30"/>
                <w:b/>
                <w:bCs/>
                <w:rStyle w:val="IndexLink"/>
                <w:lang w:val="en-US" w:eastAsia="en-US"/>
              </w:rPr>
              <w:t>研究样本疾病知识水平现状</w:t>
            </w:r>
            <w:r>
              <w:rPr>
                <w:rFonts w:ascii="宋体" w:hAnsi="宋体" w:eastAsia=""/>
                <w:sz w:val="30"/>
                <w:szCs w:val="30"/>
                <w:b/>
                <w:bCs/>
                <w:rStyle w:val="IndexLink"/>
              </w:rPr>
              <w:tab/>
            </w:r>
            <w:r>
              <w:rPr>
                <w:rFonts w:ascii="宋体" w:hAnsi="宋体" w:eastAsia=""/>
                <w:sz w:val="30"/>
                <w:szCs w:val="30"/>
                <w:b/>
                <w:bCs/>
                <w:rStyle w:val="IndexLink"/>
              </w:rPr>
              <w:t>5</w:t>
            </w:r>
          </w:hyperlink>
        </w:p>
        <w:p>
          <w:pPr>
            <w:spacing w:line="360" w:lineRule="auto"/>
            <w:pStyle w:val="TOC2"/>
            <w:tabs>
              <w:tab w:val="clear" w:pos="420"/>
              <w:tab w:val="right" w:leader="dot" w:pos="9344"/>
            </w:tabs>
            <w:rPr/>
          </w:pPr>
          <w:hyperlink w:anchor="__RefHeading___Toc224858192">
            <w:r>
              <w:rPr>
                <w:rFonts w:ascii="宋体" w:hAnsi="宋体" w:eastAsia=""/>
                <w:sz w:val="30"/>
                <w:szCs w:val="30"/>
                <w:b/>
                <w:bCs/>
                <w:rStyle w:val="IndexLink"/>
                <w:lang w:val="en-US" w:eastAsia="en-US"/>
              </w:rPr>
              <w:t xml:space="preserve">3.3 </w:t>
            </w:r>
            <w:r>
              <w:rPr>
                <w:rFonts w:ascii="宋体" w:hAnsi="宋体" w:eastAsia=""/>
                <w:sz w:val="30"/>
                <w:szCs w:val="30"/>
                <w:b/>
                <w:bCs/>
                <w:rStyle w:val="IndexLink"/>
                <w:lang w:val="en-US" w:eastAsia="en-US"/>
              </w:rPr>
              <w:t>核心特征与认知现状的关联</w:t>
            </w:r>
            <w:r>
              <w:rPr>
                <w:rFonts w:ascii="宋体" w:hAnsi="宋体" w:eastAsia=""/>
                <w:sz w:val="30"/>
                <w:szCs w:val="30"/>
                <w:b/>
                <w:bCs/>
                <w:rStyle w:val="IndexLink"/>
              </w:rPr>
              <w:tab/>
            </w:r>
            <w:r>
              <w:rPr>
                <w:rFonts w:ascii="宋体" w:hAnsi="宋体" w:eastAsia=""/>
                <w:sz w:val="30"/>
                <w:szCs w:val="30"/>
                <w:b/>
                <w:bCs/>
                <w:rStyle w:val="IndexLink"/>
              </w:rPr>
              <w:t>6</w:t>
            </w:r>
          </w:hyperlink>
        </w:p>
        <w:p>
          <w:pPr>
            <w:spacing w:beforeLines="100" w:afterLines="100"/>
            <w:jc w:val="left"/>
            <w:pStyle w:val="TOC1"/>
            <w:tabs>
              <w:tab w:val="clear" w:pos="420"/>
              <w:tab w:val="right" w:leader="dot" w:pos="9344"/>
            </w:tabs>
            <w:rPr/>
          </w:pPr>
          <w:hyperlink w:anchor="__RefHeading___Toc224858193">
            <w:r>
              <w:rPr>
                <w:rFonts w:ascii="宋体" w:hAnsi="宋体" w:eastAsia=""/>
                <w:sz w:val="32"/>
                <w:szCs w:val="32"/>
                <w:b/>
                <w:bCs/>
                <w:rStyle w:val="IndexLink"/>
                <w:lang w:val="en-US" w:eastAsia="en-US"/>
              </w:rPr>
              <w:t xml:space="preserve">4 </w:t>
            </w:r>
            <w:r>
              <w:rPr>
                <w:rFonts w:ascii="宋体" w:hAnsi="宋体" w:eastAsia=""/>
                <w:sz w:val="32"/>
                <w:szCs w:val="32"/>
                <w:b/>
                <w:bCs/>
                <w:rStyle w:val="IndexLink"/>
                <w:lang w:val="en-US" w:eastAsia="en-US"/>
              </w:rPr>
              <w:t>认知水平影响因素分析</w:t>
            </w:r>
            <w:r>
              <w:rPr>
                <w:rFonts w:ascii="宋体" w:hAnsi="宋体" w:eastAsia=""/>
                <w:sz w:val="32"/>
                <w:szCs w:val="32"/>
                <w:b/>
                <w:bCs/>
                <w:rStyle w:val="IndexLink"/>
              </w:rPr>
              <w:tab/>
            </w:r>
            <w:r>
              <w:rPr>
                <w:rFonts w:ascii="宋体" w:hAnsi="宋体" w:eastAsia=""/>
                <w:sz w:val="32"/>
                <w:szCs w:val="32"/>
                <w:b/>
                <w:bCs/>
                <w:rStyle w:val="IndexLink"/>
              </w:rPr>
              <w:t>6</w:t>
            </w:r>
          </w:hyperlink>
        </w:p>
        <w:p>
          <w:pPr>
            <w:spacing w:line="360" w:lineRule="auto"/>
            <w:pStyle w:val="TOC2"/>
            <w:tabs>
              <w:tab w:val="clear" w:pos="420"/>
              <w:tab w:val="right" w:leader="dot" w:pos="9344"/>
            </w:tabs>
            <w:rPr/>
          </w:pPr>
          <w:hyperlink w:anchor="__RefHeading___Toc224858194">
            <w:r>
              <w:rPr>
                <w:rFonts w:ascii="宋体" w:hAnsi="宋体" w:eastAsia=""/>
                <w:sz w:val="30"/>
                <w:szCs w:val="30"/>
                <w:b/>
                <w:bCs/>
                <w:rStyle w:val="IndexLink"/>
                <w:lang w:val="en-US" w:eastAsia="en-US"/>
              </w:rPr>
              <w:t xml:space="preserve">4.1 </w:t>
            </w:r>
            <w:r>
              <w:rPr>
                <w:rFonts w:ascii="宋体" w:hAnsi="宋体" w:eastAsia=""/>
                <w:sz w:val="30"/>
                <w:szCs w:val="30"/>
                <w:b/>
                <w:bCs/>
                <w:rStyle w:val="IndexLink"/>
                <w:lang w:val="en-US" w:eastAsia="en-US"/>
              </w:rPr>
              <w:t>单因素影响分析</w:t>
            </w:r>
            <w:r>
              <w:rPr>
                <w:rFonts w:ascii="宋体" w:hAnsi="宋体" w:eastAsia=""/>
                <w:sz w:val="30"/>
                <w:szCs w:val="30"/>
                <w:b/>
                <w:bCs/>
                <w:rStyle w:val="IndexLink"/>
              </w:rPr>
              <w:tab/>
            </w:r>
            <w:r>
              <w:rPr>
                <w:rFonts w:ascii="宋体" w:hAnsi="宋体" w:eastAsia=""/>
                <w:sz w:val="30"/>
                <w:szCs w:val="30"/>
                <w:b/>
                <w:bCs/>
                <w:rStyle w:val="IndexLink"/>
              </w:rPr>
              <w:t>6</w:t>
            </w:r>
          </w:hyperlink>
        </w:p>
        <w:p>
          <w:pPr>
            <w:pStyle w:val="TOC2"/>
            <w:tabs>
              <w:tab w:val="clear" w:pos="420"/>
              <w:tab w:val="right" w:leader="dot" w:pos="9344"/>
            </w:tabs>
            <w:spacing w:line="360" w:lineRule="auto"/>
            <w:rPr/>
          </w:pPr>
          <w:hyperlink w:anchor="__RefHeading___Toc224858195">
            <w:r>
              <w:rPr>
                <w:rStyle w:val="IndexLink"/>
                <w:rFonts w:ascii="宋体;SimSun" w:hAnsi="宋体;SimSun" w:cs="宋体;SimSun"/>
                <w:lang w:val="en-US" w:eastAsia="en-US"/>
              </w:rPr>
              <w:t>4.2</w:t>
            </w:r>
            <w:r>
              <w:rPr>
                <w:rStyle w:val="IndexLink"/>
                <w:rFonts w:ascii="宋体;SimSun" w:hAnsi="宋体;SimSun" w:cs="宋体;SimSun"/>
                <w:lang w:val="en-US" w:eastAsia="en-US"/>
              </w:rPr>
              <w:t>糖尿病患者疾病知识认知水平的多因素分析</w:t>
            </w:r>
            <w:r>
              <w:rPr>
                <w:rStyle w:val="IndexLink"/>
              </w:rPr>
              <w:tab/>
            </w:r>
            <w:r>
              <w:rPr>
                <w:rStyle w:val="IndexLink"/>
              </w:rPr>
              <w:t>7</w:t>
            </w:r>
          </w:hyperlink>
        </w:p>
        <w:p>
          <w:pPr>
            <w:spacing w:beforeLines="100" w:afterLines="100"/>
            <w:jc w:val="left"/>
            <w:pStyle w:val="TOC1"/>
            <w:tabs>
              <w:tab w:val="clear" w:pos="420"/>
              <w:tab w:val="right" w:leader="dot" w:pos="9344"/>
            </w:tabs>
            <w:rPr/>
          </w:pPr>
          <w:hyperlink w:anchor="__RefHeading___Toc224858196">
            <w:r>
              <w:rPr>
                <w:rFonts w:ascii="宋体" w:hAnsi="宋体" w:eastAsia=""/>
                <w:sz w:val="32"/>
                <w:szCs w:val="32"/>
                <w:b/>
                <w:bCs/>
                <w:rStyle w:val="IndexLink"/>
                <w:lang w:val="en-US" w:eastAsia="en-US"/>
              </w:rPr>
              <w:t xml:space="preserve">5 </w:t>
            </w:r>
            <w:r>
              <w:rPr>
                <w:rFonts w:ascii="宋体" w:hAnsi="宋体" w:eastAsia=""/>
                <w:sz w:val="32"/>
                <w:szCs w:val="32"/>
                <w:b/>
                <w:bCs/>
                <w:rStyle w:val="IndexLink"/>
                <w:lang w:val="en-US" w:eastAsia="en-US"/>
              </w:rPr>
              <w:t>结论</w:t>
            </w:r>
            <w:r>
              <w:rPr>
                <w:rFonts w:ascii="宋体" w:hAnsi="宋体" w:eastAsia=""/>
                <w:sz w:val="32"/>
                <w:szCs w:val="32"/>
                <w:b/>
                <w:bCs/>
                <w:rStyle w:val="IndexLink"/>
                <w:lang w:val="en-US" w:eastAsia="en-US"/>
              </w:rPr>
              <w:t>/</w:t>
            </w:r>
            <w:r>
              <w:rPr>
                <w:rFonts w:ascii="宋体" w:hAnsi="宋体" w:eastAsia=""/>
                <w:sz w:val="32"/>
                <w:szCs w:val="32"/>
                <w:b/>
                <w:bCs/>
                <w:rStyle w:val="IndexLink"/>
                <w:lang w:val="en-US" w:eastAsia="en-US"/>
              </w:rPr>
              <w:t>总结</w:t>
            </w:r>
            <w:r>
              <w:rPr>
                <w:rFonts w:ascii="宋体" w:hAnsi="宋体" w:eastAsia=""/>
                <w:sz w:val="32"/>
                <w:szCs w:val="32"/>
                <w:b/>
                <w:bCs/>
                <w:rStyle w:val="IndexLink"/>
              </w:rPr>
              <w:tab/>
            </w:r>
            <w:r>
              <w:rPr>
                <w:rFonts w:ascii="宋体" w:hAnsi="宋体" w:eastAsia=""/>
                <w:sz w:val="32"/>
                <w:szCs w:val="32"/>
                <w:b/>
                <w:bCs/>
                <w:rStyle w:val="IndexLink"/>
              </w:rPr>
              <w:t>8</w:t>
            </w:r>
          </w:hyperlink>
        </w:p>
        <w:p>
          <w:pPr>
            <w:pStyle w:val="TOC2"/>
            <w:tabs>
              <w:tab w:val="clear" w:pos="420"/>
              <w:tab w:val="right" w:leader="dot" w:pos="9344"/>
            </w:tabs>
            <w:spacing w:line="360" w:lineRule="auto"/>
            <w:rPr/>
          </w:pPr>
          <w:hyperlink w:anchor="__RefHeading___Toc224858197">
            <w:r>
              <w:rPr>
                <w:rStyle w:val="IndexLink"/>
                <w:rFonts w:ascii="宋体;SimSun" w:hAnsi="宋体;SimSun" w:cs="宋体;SimSun"/>
                <w:lang w:val="en-US" w:eastAsia="en-US"/>
              </w:rPr>
              <w:t>5.1</w:t>
            </w:r>
            <w:r>
              <w:rPr>
                <w:rStyle w:val="IndexLink"/>
                <w:rFonts w:ascii="宋体;SimSun" w:hAnsi="宋体;SimSun" w:cs="宋体;SimSun"/>
                <w:lang w:val="en-US" w:eastAsia="en-US"/>
              </w:rPr>
              <w:t>单因素分析结果的核心</w:t>
            </w:r>
            <w:r>
              <w:rPr>
                <w:rStyle w:val="IndexLink"/>
              </w:rPr>
              <w:tab/>
            </w:r>
            <w:r>
              <w:rPr>
                <w:rStyle w:val="IndexLink"/>
              </w:rPr>
              <w:t>8</w:t>
            </w:r>
          </w:hyperlink>
        </w:p>
        <w:p>
          <w:pPr>
            <w:pStyle w:val="TOC2"/>
            <w:tabs>
              <w:tab w:val="clear" w:pos="420"/>
              <w:tab w:val="right" w:leader="dot" w:pos="9344"/>
            </w:tabs>
            <w:spacing w:line="360" w:lineRule="auto"/>
            <w:rPr/>
          </w:pPr>
          <w:hyperlink w:anchor="__RefHeading___Toc224858198">
            <w:r>
              <w:rPr>
                <w:rStyle w:val="IndexLink"/>
                <w:rFonts w:ascii="宋体;SimSun" w:hAnsi="宋体;SimSun" w:cs="宋体;SimSun"/>
                <w:lang w:val="en-US" w:eastAsia="en-US"/>
              </w:rPr>
              <w:t>5.2</w:t>
            </w:r>
            <w:r>
              <w:rPr>
                <w:rStyle w:val="IndexLink"/>
                <w:rFonts w:ascii="宋体;SimSun" w:hAnsi="宋体;SimSun" w:cs="宋体;SimSun"/>
                <w:lang w:val="en-US" w:eastAsia="en-US"/>
              </w:rPr>
              <w:t>多因素分析的关键结论：核心影响因素的筛选与验证</w:t>
            </w:r>
            <w:r>
              <w:rPr>
                <w:rStyle w:val="IndexLink"/>
              </w:rPr>
              <w:tab/>
            </w:r>
            <w:r>
              <w:rPr>
                <w:rStyle w:val="IndexLink"/>
              </w:rPr>
              <w:t>9</w:t>
            </w:r>
          </w:hyperlink>
        </w:p>
        <w:p>
          <w:pPr>
            <w:pStyle w:val="TOC2"/>
            <w:tabs>
              <w:tab w:val="clear" w:pos="420"/>
              <w:tab w:val="right" w:leader="dot" w:pos="9344"/>
            </w:tabs>
            <w:spacing w:line="360" w:lineRule="auto"/>
            <w:rPr/>
          </w:pPr>
          <w:hyperlink w:anchor="__RefHeading___Toc224858199">
            <w:r>
              <w:rPr>
                <w:rStyle w:val="IndexLink"/>
                <w:rFonts w:ascii="宋体;SimSun" w:hAnsi="宋体;SimSun" w:cs="宋体;SimSun"/>
                <w:lang w:val="en-US" w:eastAsia="en-US"/>
              </w:rPr>
              <w:t>5.3</w:t>
            </w:r>
            <w:r>
              <w:rPr>
                <w:rStyle w:val="IndexLink"/>
                <w:rFonts w:ascii="宋体;SimSun" w:hAnsi="宋体;SimSun" w:cs="宋体;SimSun"/>
                <w:lang w:val="en-US" w:eastAsia="en-US"/>
              </w:rPr>
              <w:t>研究结果对社区糖尿病健康管理的实践意义</w:t>
            </w:r>
            <w:r>
              <w:rPr>
                <w:rStyle w:val="IndexLink"/>
              </w:rPr>
              <w:tab/>
            </w:r>
            <w:r>
              <w:rPr>
                <w:rStyle w:val="IndexLink"/>
              </w:rPr>
              <w:t>10</w:t>
            </w:r>
          </w:hyperlink>
        </w:p>
        <w:p>
          <w:pPr>
            <w:pStyle w:val="TOC2"/>
            <w:tabs>
              <w:tab w:val="clear" w:pos="420"/>
              <w:tab w:val="right" w:leader="dot" w:pos="9344"/>
            </w:tabs>
            <w:spacing w:line="360" w:lineRule="auto"/>
            <w:rPr/>
          </w:pPr>
          <w:hyperlink w:anchor="__RefHeading___Toc224858200">
            <w:r>
              <w:rPr>
                <w:rStyle w:val="IndexLink"/>
                <w:rFonts w:ascii="宋体;SimSun" w:hAnsi="宋体;SimSun" w:cs="宋体;SimSun"/>
                <w:lang w:val="en-US" w:eastAsia="en-US"/>
              </w:rPr>
              <w:t>5.4</w:t>
            </w:r>
            <w:r>
              <w:rPr>
                <w:rStyle w:val="IndexLink"/>
                <w:rFonts w:ascii="宋体;SimSun" w:hAnsi="宋体;SimSun" w:cs="宋体;SimSun"/>
                <w:lang w:val="en-US" w:eastAsia="en-US"/>
              </w:rPr>
              <w:t>研究的潜在局限性</w:t>
            </w:r>
            <w:r>
              <w:rPr>
                <w:rStyle w:val="IndexLink"/>
              </w:rPr>
              <w:tab/>
            </w:r>
            <w:r>
              <w:rPr>
                <w:rStyle w:val="IndexLink"/>
              </w:rPr>
              <w:t>11</w:t>
            </w:r>
          </w:hyperlink>
        </w:p>
        <w:p>
          <w:pPr>
            <w:pStyle w:val="TOC2"/>
            <w:tabs>
              <w:tab w:val="clear" w:pos="420"/>
              <w:tab w:val="right" w:leader="dot" w:pos="9344"/>
            </w:tabs>
            <w:spacing w:line="360" w:lineRule="auto"/>
            <w:rPr/>
          </w:pPr>
          <w:hyperlink w:anchor="__RefHeading___Toc224858201">
            <w:r>
              <w:rPr>
                <w:rStyle w:val="IndexLink"/>
                <w:rFonts w:ascii="宋体;SimSun" w:hAnsi="宋体;SimSun" w:cs="宋体;SimSun"/>
                <w:lang w:val="en-US" w:eastAsia="en-US"/>
              </w:rPr>
              <w:t>5.5</w:t>
            </w:r>
            <w:r>
              <w:rPr>
                <w:rStyle w:val="IndexLink"/>
                <w:rFonts w:ascii="宋体;SimSun" w:hAnsi="宋体;SimSun" w:cs="宋体;SimSun"/>
                <w:lang w:val="en-US" w:eastAsia="en-US"/>
              </w:rPr>
              <w:t>总结</w:t>
            </w:r>
            <w:r>
              <w:rPr>
                <w:rStyle w:val="IndexLink"/>
              </w:rPr>
              <w:tab/>
            </w:r>
            <w:r>
              <w:rPr>
                <w:rStyle w:val="IndexLink"/>
              </w:rPr>
              <w:t>11</w:t>
            </w:r>
          </w:hyperlink>
        </w:p>
        <w:p>
          <w:pPr>
            <w:pStyle w:val="TOC1"/>
            <w:tabs>
              <w:tab w:val="clear" w:pos="420"/>
              <w:tab w:val="right" w:leader="dot" w:pos="9344"/>
            </w:tabs>
            <w:spacing w:line="360" w:lineRule="auto"/>
            <w:rPr/>
          </w:pPr>
          <w:hyperlink w:anchor="__RefHeading___Toc224858202">
            <w:r>
              <w:rPr>
                <w:rStyle w:val="IndexLink"/>
                <w:rFonts w:ascii="宋体;SimSun" w:hAnsi="宋体;SimSun" w:cs="宋体;SimSun"/>
                <w:lang w:val="en-US" w:eastAsia="en-US"/>
              </w:rPr>
              <w:t>参考文献</w:t>
            </w:r>
            <w:r>
              <w:rPr>
                <w:rStyle w:val="IndexLink"/>
              </w:rPr>
              <w:tab/>
            </w:r>
            <w:r>
              <w:rPr>
                <w:rStyle w:val="IndexLink"/>
              </w:rPr>
              <w:t>12</w:t>
            </w:r>
          </w:hyperlink>
        </w:p>
        <w:p>
          <w:pPr>
            <w:pStyle w:val="TOC1"/>
            <w:tabs>
              <w:tab w:val="clear" w:pos="420"/>
              <w:tab w:val="right" w:leader="dot" w:pos="9344"/>
            </w:tabs>
            <w:spacing w:line="360" w:lineRule="auto"/>
            <w:rPr/>
            <w:sectPr>
              <w:type w:val="nextPage"/>
              <w:headerReference w:type="default" r:id="rIdCQRWSTHeader1"/>
              <w:pgSz w:w="11906" w:h="16838"/>
              <w:pgMar w:top="1418" w:right="1134" w:bottom="1134" w:left="1418" w:header="851" w:footer="992" w:gutter="0"/>
            </w:sectPr>
          </w:pPr>
          <w:hyperlink w:anchor="__RefHeading___Toc224858203">
            <w:r>
              <w:rPr>
                <w:rStyle w:val="IndexLink"/>
                <w:rFonts w:ascii="宋体;SimSun" w:hAnsi="宋体;SimSun" w:cs="宋体;SimSun"/>
                <w:lang w:val="en-US" w:eastAsia="en-US"/>
              </w:rPr>
              <w:t>致      谢</w:t>
            </w:r>
            <w:r>
              <w:rPr>
                <w:rStyle w:val="IndexLink"/>
              </w:rPr>
              <w:tab/>
            </w:r>
            <w:r>
              <w:rPr>
                <w:rStyle w:val="IndexLink"/>
              </w:rPr>
              <w:t>13</w:t>
            </w:r>
          </w:hyperlink>
          <w:r>
            <w:rPr>
              <w:rStyle w:val="IndexLink"/>
            </w:rPr>
            <w:fldChar w:fldCharType="end"/>
          </w:r>
        </w:p>
      </w:sdtContent>
    </w:sdt>
    <w:p>
      <w:pPr>
        <w:spacing w:beforeLines="100" w:afterLines="100"/>
        <w:jc w:val="left"/>
        <w:numPr>
          <w:ilvl w:val="0"/>
          <w:numId w:val="0"/>
        </w:numPr>
        <w:snapToGrid w:val="false"/>
        <w:outlineLvl w:val="0"/>
        <w:rPr>
          <w:rFonts w:ascii="宋体" w:hAnsi="宋体" w:eastAsia="宋体" w:cs="宋体"/>
          <w:b/>
          <w:bCs/>
          <w:sz w:val="32"/>
          <w:szCs w:val="32"/>
        </w:rPr>
      </w:pPr>
      <w:bookmarkStart w:name="__RefHeading___Toc224858171" w:id="2"/>
      <w:bookmarkEnd w:id="2"/>
      <w:r>
        <w:rPr>
          <w:rFonts w:ascii="宋体" w:hAnsi="宋体" w:eastAsia=""/>
          <w:sz w:val="28"/>
          <w:szCs w:val="28"/>
          <w:b/>
          <w:bCs/>
        </w:rPr>
        <w:t xml:space="preserve">1 </w:t>
      </w:r>
      <w:r>
        <w:rPr>
          <w:rFonts w:ascii="宋体" w:hAnsi="宋体" w:eastAsia=""/>
          <w:sz w:val="28"/>
          <w:szCs w:val="28"/>
          <w:b/>
          <w:bCs/>
        </w:rPr>
        <w:t>绪论</w:t>
      </w:r>
    </w:p>
    <w:p>
      <w:pPr>
        <w:spacing w:line="360" w:lineRule="auto"/>
        <w:numPr>
          <w:ilvl w:val="0"/>
          <w:numId w:val="0"/>
        </w:numPr>
        <w:outlineLvl w:val="1"/>
        <w:rPr>
          <w:rFonts w:ascii="宋体" w:hAnsi="宋体" w:eastAsia="宋体" w:cs="宋体"/>
          <w:b/>
          <w:bCs/>
          <w:sz w:val="30"/>
          <w:szCs w:val="30"/>
        </w:rPr>
      </w:pPr>
      <w:bookmarkStart w:name="__RefHeading___Toc224858172" w:id="3"/>
      <w:bookmarkEnd w:id="3"/>
      <w:r>
        <w:rPr>
          <w:rFonts w:ascii="宋体" w:hAnsi="宋体" w:eastAsia=""/>
          <w:sz w:val="30"/>
          <w:szCs w:val="30"/>
          <w:b/>
          <w:bCs/>
        </w:rPr>
        <w:t xml:space="preserve">1.1 </w:t>
      </w:r>
      <w:r>
        <w:rPr>
          <w:rFonts w:ascii="宋体" w:hAnsi="宋体" w:eastAsia=""/>
          <w:sz w:val="30"/>
          <w:szCs w:val="30"/>
          <w:b/>
          <w:bCs/>
        </w:rPr>
        <w:t>研究背景</w:t>
      </w:r>
    </w:p>
    <w:p>
      <w:pPr>
        <w:spacing w:line="360" w:lineRule="auto"/>
        <w:ind w:firstLineChars="200"/>
        <w:jc w:val="both"/>
        <w:rPr>
          <w:rFonts w:ascii="宋体" w:hAnsi="宋体" w:eastAsia="宋体" w:cs="宋体"/>
          <w:b/>
          <w:sz w:val="24"/>
          <w:szCs w:val="24"/>
        </w:rPr>
      </w:pPr>
      <w:r>
        <w:rPr>
          <w:rFonts w:ascii="Times New Roman" w:hAnsi="Times New Roman" w:eastAsia="宋体"/>
          <w:sz w:val="24"/>
          <w:szCs w:val="24"/>
        </w:rPr>
        <w:t>糖尿病是一组以高血糖为主要特征的慢性代谢性疾病，</w:t>
      </w:r>
      <w:r>
        <w:rPr>
          <w:rFonts w:ascii="Times New Roman" w:hAnsi="Times New Roman" w:eastAsia="宋体"/>
          <w:sz w:val="24"/>
          <w:szCs w:val="24"/>
        </w:rPr>
        <w:t>2</w:t>
      </w:r>
      <w:r>
        <w:rPr>
          <w:rFonts w:ascii="Times New Roman" w:hAnsi="Times New Roman" w:eastAsia="宋体"/>
          <w:sz w:val="24"/>
          <w:szCs w:val="24"/>
        </w:rPr>
        <w:t>型糖尿病（</w:t>
      </w:r>
      <w:r>
        <w:rPr>
          <w:rFonts w:ascii="Times New Roman" w:hAnsi="Times New Roman" w:eastAsia="宋体"/>
          <w:sz w:val="24"/>
          <w:szCs w:val="24"/>
        </w:rPr>
        <w:t>T2D</w:t>
      </w:r>
      <w:r>
        <w:rPr>
          <w:rFonts w:ascii="Times New Roman" w:hAnsi="Times New Roman" w:eastAsia="宋体"/>
          <w:sz w:val="24"/>
          <w:szCs w:val="24"/>
        </w:rPr>
        <w:t>）比例约占</w:t>
      </w:r>
      <w:r>
        <w:rPr>
          <w:rFonts w:ascii="Times New Roman" w:hAnsi="Times New Roman" w:eastAsia="宋体"/>
          <w:sz w:val="24"/>
          <w:szCs w:val="24"/>
        </w:rPr>
        <w:t>90%</w:t>
      </w:r>
      <w:r>
        <w:rPr>
          <w:rFonts w:ascii="Times New Roman" w:hAnsi="Times New Roman" w:eastAsia="宋体"/>
          <w:sz w:val="24"/>
          <w:szCs w:val="24"/>
          <w:vertAlign w:val="superscript"/>
        </w:rPr>
        <w:t>[1]</w:t>
      </w:r>
      <w:r>
        <w:rPr>
          <w:rFonts w:ascii="Times New Roman" w:hAnsi="Times New Roman" w:eastAsia="宋体"/>
          <w:sz w:val="24"/>
          <w:szCs w:val="24"/>
        </w:rPr>
        <w:t>。随着社会的发展和环境的不断变化，</w:t>
      </w:r>
      <w:r>
        <w:rPr>
          <w:rFonts w:ascii="Times New Roman" w:hAnsi="Times New Roman" w:eastAsia="宋体"/>
          <w:sz w:val="24"/>
          <w:szCs w:val="24"/>
        </w:rPr>
        <w:t>2</w:t>
      </w:r>
      <w:r>
        <w:rPr>
          <w:rFonts w:ascii="Times New Roman" w:hAnsi="Times New Roman" w:eastAsia="宋体"/>
          <w:sz w:val="24"/>
          <w:szCs w:val="24"/>
        </w:rPr>
        <w:t>型糖尿病患者的患病率却不断增高，根据国际糖尿病联合会</w:t>
      </w:r>
      <w:r>
        <w:rPr>
          <w:rFonts w:ascii="Times New Roman" w:hAnsi="Times New Roman" w:eastAsia="宋体"/>
          <w:sz w:val="24"/>
          <w:szCs w:val="24"/>
        </w:rPr>
        <w:t>(IDF)</w:t>
      </w:r>
      <w:r>
        <w:rPr>
          <w:rFonts w:ascii="Times New Roman" w:hAnsi="Times New Roman" w:eastAsia="宋体"/>
          <w:sz w:val="24"/>
          <w:szCs w:val="24"/>
        </w:rPr>
        <w:t>的估计到</w:t>
      </w:r>
      <w:r>
        <w:rPr>
          <w:rFonts w:ascii="Times New Roman" w:hAnsi="Times New Roman" w:eastAsia="宋体"/>
          <w:sz w:val="24"/>
          <w:szCs w:val="24"/>
        </w:rPr>
        <w:t>2035</w:t>
      </w:r>
      <w:r>
        <w:rPr>
          <w:rFonts w:ascii="Times New Roman" w:hAnsi="Times New Roman" w:eastAsia="宋体"/>
          <w:sz w:val="24"/>
          <w:szCs w:val="24"/>
        </w:rPr>
        <w:t>年，全球的糖尿病患者人数将增至</w:t>
      </w:r>
      <w:r>
        <w:rPr>
          <w:rFonts w:ascii="Times New Roman" w:hAnsi="Times New Roman" w:eastAsia="宋体"/>
          <w:sz w:val="24"/>
          <w:szCs w:val="24"/>
        </w:rPr>
        <w:t>5.92</w:t>
      </w:r>
      <w:r>
        <w:rPr>
          <w:rFonts w:ascii="Times New Roman" w:hAnsi="Times New Roman" w:eastAsia="宋体"/>
          <w:sz w:val="24"/>
          <w:szCs w:val="24"/>
        </w:rPr>
        <w:t>亿</w:t>
      </w:r>
      <w:r>
        <w:rPr>
          <w:rFonts w:ascii="Times New Roman" w:hAnsi="Times New Roman" w:eastAsia="宋体"/>
          <w:sz w:val="24"/>
          <w:szCs w:val="24"/>
          <w:vertAlign w:val="superscript"/>
        </w:rPr>
        <w:t>[2]</w:t>
      </w:r>
      <w:r>
        <w:rPr>
          <w:rFonts w:ascii="Times New Roman" w:hAnsi="Times New Roman" w:eastAsia="宋体"/>
          <w:sz w:val="24"/>
          <w:szCs w:val="24"/>
        </w:rPr>
        <w:t>，糖尿病现已成为全球各国的主要的健康问题之一。近些年来，我国的糖尿病患者患病率将持续增长并且速度不断加快，如今我国的糖尿病病人已达</w:t>
      </w:r>
      <w:r>
        <w:rPr>
          <w:rFonts w:ascii="Times New Roman" w:hAnsi="Times New Roman" w:eastAsia="宋体"/>
          <w:sz w:val="24"/>
          <w:szCs w:val="24"/>
        </w:rPr>
        <w:t>1.14</w:t>
      </w:r>
      <w:r>
        <w:rPr>
          <w:rFonts w:ascii="Times New Roman" w:hAnsi="Times New Roman" w:eastAsia="宋体"/>
          <w:sz w:val="24"/>
          <w:szCs w:val="24"/>
        </w:rPr>
        <w:t>亿人，占全球糖尿病病人总数的三分之一，而</w:t>
      </w:r>
      <w:r>
        <w:rPr>
          <w:rFonts w:ascii="Times New Roman" w:hAnsi="Times New Roman" w:eastAsia="宋体"/>
          <w:sz w:val="24"/>
          <w:szCs w:val="24"/>
        </w:rPr>
        <w:t>2</w:t>
      </w:r>
      <w:r>
        <w:rPr>
          <w:rFonts w:ascii="Times New Roman" w:hAnsi="Times New Roman" w:eastAsia="宋体"/>
          <w:sz w:val="24"/>
          <w:szCs w:val="24"/>
        </w:rPr>
        <w:t>型糖尿病病的人数占总人数的</w:t>
      </w:r>
      <w:r>
        <w:rPr>
          <w:rFonts w:ascii="Times New Roman" w:hAnsi="Times New Roman" w:eastAsia="宋体"/>
          <w:sz w:val="24"/>
          <w:szCs w:val="24"/>
        </w:rPr>
        <w:t>90%</w:t>
      </w:r>
      <w:r>
        <w:rPr>
          <w:rFonts w:ascii="Times New Roman" w:hAnsi="Times New Roman" w:eastAsia="宋体"/>
          <w:sz w:val="24"/>
          <w:szCs w:val="24"/>
        </w:rPr>
        <w:t>。目前我国糖尿病的发病情况呈现出高患病率、低诊断率和低控制率的特点。现有研究表明</w:t>
      </w:r>
      <w:r>
        <w:rPr>
          <w:rFonts w:ascii="Times New Roman" w:hAnsi="Times New Roman" w:eastAsia="宋体"/>
          <w:sz w:val="24"/>
          <w:szCs w:val="24"/>
          <w:vertAlign w:val="superscript"/>
        </w:rPr>
        <w:t>[3-4]</w:t>
      </w:r>
      <w:r>
        <w:rPr>
          <w:rFonts w:ascii="Times New Roman" w:hAnsi="Times New Roman" w:eastAsia="宋体"/>
          <w:sz w:val="24"/>
          <w:szCs w:val="24"/>
        </w:rPr>
        <w:t>，糖尿病患者对自身疾病的认知水平，会直接影响血糖控制效果与后面的生活质量。不过在现实情况中，患者的受教育程度、地区的医疗资源以及健康素养等因素的影响，这使得社区患者的疾病认知存在显著的差异，进而成为了制约糖尿病防控成效的关键瓶颈。</w:t>
      </w:r>
    </w:p>
    <w:p>
      <w:pPr>
        <w:spacing w:line="360" w:lineRule="auto"/>
        <w:ind w:firstLineChars="200"/>
        <w:jc w:val="both"/>
        <w:numPr>
          <w:ilvl w:val="0"/>
          <w:numId w:val="0"/>
        </w:numPr>
        <w:outlineLvl w:val="1"/>
        <w:rPr>
          <w:rFonts w:ascii="宋体" w:hAnsi="宋体" w:eastAsia="宋体" w:cs="宋体"/>
          <w:b/>
          <w:bCs/>
          <w:sz w:val="30"/>
          <w:szCs w:val="30"/>
        </w:rPr>
      </w:pPr>
      <w:bookmarkStart w:name="__RefHeading___Toc224858173" w:id="4"/>
      <w:bookmarkEnd w:id="4"/>
      <w:r>
        <w:rPr>
          <w:rFonts w:ascii="Times New Roman" w:hAnsi="Times New Roman" w:eastAsia="宋体"/>
          <w:sz w:val="24"/>
          <w:szCs w:val="24"/>
        </w:rPr>
        <w:t>1.2</w:t>
      </w:r>
      <w:r>
        <w:rPr>
          <w:rFonts w:ascii="Times New Roman" w:hAnsi="Times New Roman" w:eastAsia="宋体"/>
          <w:sz w:val="24"/>
          <w:szCs w:val="24"/>
        </w:rPr>
        <w:t>研究目的</w:t>
      </w:r>
    </w:p>
    <w:p>
      <w:pPr>
        <w:spacing w:line="360" w:lineRule="auto"/>
        <w:ind w:firstLineChars="200"/>
        <w:jc w:val="both"/>
        <w:rPr>
          <w:rFonts w:ascii="宋体" w:hAnsi="宋体" w:eastAsia="宋体" w:cs="宋体"/>
          <w:sz w:val="24"/>
          <w:szCs w:val="24"/>
        </w:rPr>
      </w:pPr>
      <w:r>
        <w:rPr>
          <w:rFonts w:ascii="Times New Roman" w:hAnsi="Times New Roman" w:eastAsia="宋体"/>
          <w:sz w:val="24"/>
          <w:szCs w:val="24"/>
        </w:rPr>
        <w:t>本研究旨在系统的调查并且明确社区</w:t>
      </w:r>
      <w:r>
        <w:rPr>
          <w:rFonts w:ascii="Times New Roman" w:hAnsi="Times New Roman" w:eastAsia="宋体"/>
          <w:sz w:val="24"/>
          <w:szCs w:val="24"/>
        </w:rPr>
        <w:t>2</w:t>
      </w:r>
      <w:r>
        <w:rPr>
          <w:rFonts w:ascii="Times New Roman" w:hAnsi="Times New Roman" w:eastAsia="宋体"/>
          <w:sz w:val="24"/>
          <w:szCs w:val="24"/>
        </w:rPr>
        <w:t>型糖尿病患者在疾病相关知识方面的认知现状与掌握水平，其中重点涵盖了饮食的管理、科学的运动、糖尿病足的预防护理、规范用药以及血糖监测等核心的内容，从而全面评估患者对糖尿病相关知识的一个整体认知程度。在这些基本情况的调查基础上，本研究会进一步深入分析患者的年龄、文化程度、患病病程、既往是否接受过健康宣教的情况等相关因素，这些对其疾病知识认知水平的具体影响，通过对收集到的数据进行分析识别并提炼出影响社区</w:t>
      </w:r>
      <w:r>
        <w:rPr>
          <w:rFonts w:ascii="Times New Roman" w:hAnsi="Times New Roman" w:eastAsia="宋体"/>
          <w:sz w:val="24"/>
          <w:szCs w:val="24"/>
        </w:rPr>
        <w:t>2</w:t>
      </w:r>
      <w:r>
        <w:rPr>
          <w:rFonts w:ascii="Times New Roman" w:hAnsi="Times New Roman" w:eastAsia="宋体"/>
          <w:sz w:val="24"/>
          <w:szCs w:val="24"/>
        </w:rPr>
        <w:t>型糖尿病患者疾病认知的关键因素。最后，希望能为后续制定出更具针对性、个性化与实用性的社区糖尿病健康教育方案提供出可以参考的科学依据与理论参考。</w:t>
      </w:r>
    </w:p>
    <w:p>
      <w:pPr>
        <w:spacing w:line="360" w:lineRule="auto"/>
        <w:ind w:firstLineChars="200"/>
        <w:jc w:val="both"/>
        <w:numPr>
          <w:ilvl w:val="0"/>
          <w:numId w:val="0"/>
        </w:numPr>
        <w:outlineLvl w:val="1"/>
        <w:rPr>
          <w:rFonts w:ascii="宋体" w:hAnsi="宋体" w:eastAsia="宋体" w:cs="宋体"/>
          <w:b/>
          <w:bCs/>
          <w:sz w:val="30"/>
          <w:szCs w:val="30"/>
        </w:rPr>
      </w:pPr>
      <w:bookmarkStart w:name="__RefHeading___Toc224858174" w:id="5"/>
      <w:bookmarkEnd w:id="5"/>
      <w:r>
        <w:rPr>
          <w:rFonts w:ascii="Times New Roman" w:hAnsi="Times New Roman" w:eastAsia="宋体"/>
          <w:sz w:val="24"/>
          <w:szCs w:val="24"/>
        </w:rPr>
        <w:t>1.3</w:t>
      </w:r>
      <w:r>
        <w:rPr>
          <w:rFonts w:ascii="Times New Roman" w:hAnsi="Times New Roman" w:eastAsia="宋体"/>
          <w:sz w:val="24"/>
          <w:szCs w:val="24"/>
        </w:rPr>
        <w:t>研究意义</w:t>
      </w:r>
    </w:p>
    <w:p>
      <w:pPr>
        <w:spacing w:line="360" w:lineRule="auto"/>
        <w:ind w:firstLineChars="200"/>
        <w:jc w:val="both"/>
        <w:rPr>
          <w:rFonts w:ascii="宋体" w:hAnsi="宋体" w:eastAsia="宋体" w:cs="宋体"/>
          <w:sz w:val="24"/>
          <w:szCs w:val="24"/>
        </w:rPr>
      </w:pPr>
      <w:r>
        <w:rPr>
          <w:rFonts w:ascii="Times New Roman" w:hAnsi="Times New Roman" w:eastAsia="宋体"/>
          <w:sz w:val="24"/>
          <w:szCs w:val="24"/>
        </w:rPr>
        <w:t>近些年来，我国的城市化进程一直在不断地加快，普通居民的生活方式、日常的饮食结构以及平时的行为习惯都发生了较显著的变化。像高热量饮食、长期久坐少动、精神压力的增大等危险因素日益普遍，这些情况导致我国社区人群中</w:t>
      </w:r>
      <w:r>
        <w:rPr>
          <w:rFonts w:ascii="Times New Roman" w:hAnsi="Times New Roman" w:eastAsia="宋体"/>
          <w:sz w:val="24"/>
          <w:szCs w:val="24"/>
        </w:rPr>
        <w:t>2</w:t>
      </w:r>
      <w:r>
        <w:rPr>
          <w:rFonts w:ascii="Times New Roman" w:hAnsi="Times New Roman" w:eastAsia="宋体"/>
          <w:sz w:val="24"/>
          <w:szCs w:val="24"/>
        </w:rPr>
        <w:t>型糖尿病的发病率呈现出持续攀升的状态，这已成为了严重威胁居民健康、加重社会医疗负担的重要慢性疾病。社区本身就作为糖尿病预防与管理的核心基层单元，也承担着患者的长期随访、日常的健康指导、定期的病情监测与干预的关键职能，而患者对糖尿病相关知识的认知水平，往往直接决定他们的自我管理能力、日常中的治疗依从性及血糖控制效果，这些又深刻的影响了疾病预后与生活质量。本研究是立足于基层医疗卫生服务的实际场景，聚焦社区</w:t>
      </w:r>
      <w:r>
        <w:rPr>
          <w:rFonts w:ascii="Times New Roman" w:hAnsi="Times New Roman" w:eastAsia="宋体"/>
          <w:sz w:val="24"/>
          <w:szCs w:val="24"/>
        </w:rPr>
        <w:t>2</w:t>
      </w:r>
      <w:r>
        <w:rPr>
          <w:rFonts w:ascii="Times New Roman" w:hAnsi="Times New Roman" w:eastAsia="宋体"/>
          <w:sz w:val="24"/>
          <w:szCs w:val="24"/>
        </w:rPr>
        <w:t>型糖尿病患者这一群体，希望能够进一步的丰富和完善社区糖尿病慢病管理领域的学术研究内容。从客观掌握的基层患者对疾病相关知识认知水平的真实情况，系统的剖析影响该知识掌握程度的关键因素，为了提升社区糖尿病健康教育效果、优化现有的慢病管理模式提供实证支撑，同时为今后开展类似的社区慢性疾病认知与干预研究提供科学的理论参考与可行的研究思路。</w:t>
      </w:r>
    </w:p>
    <w:p>
      <w:pPr>
        <w:spacing w:line="360" w:lineRule="auto"/>
        <w:ind w:firstLineChars="200"/>
        <w:jc w:val="both"/>
        <w:numPr>
          <w:ilvl w:val="0"/>
          <w:numId w:val="0"/>
        </w:numPr>
        <w:outlineLvl w:val="1"/>
        <w:rPr>
          <w:rFonts w:ascii="宋体" w:hAnsi="宋体" w:eastAsia="宋体" w:cs="宋体"/>
          <w:b/>
          <w:bCs/>
          <w:sz w:val="30"/>
          <w:szCs w:val="30"/>
        </w:rPr>
      </w:pPr>
      <w:bookmarkStart w:name="__RefHeading___Toc224858175" w:id="6"/>
      <w:bookmarkEnd w:id="6"/>
      <w:r>
        <w:rPr>
          <w:rFonts w:ascii="Times New Roman" w:hAnsi="Times New Roman" w:eastAsia="宋体"/>
          <w:sz w:val="24"/>
          <w:szCs w:val="24"/>
        </w:rPr>
        <w:t>1.3</w:t>
      </w:r>
      <w:r>
        <w:rPr>
          <w:rFonts w:ascii="Times New Roman" w:hAnsi="Times New Roman" w:eastAsia="宋体"/>
          <w:sz w:val="24"/>
          <w:szCs w:val="24"/>
        </w:rPr>
        <w:t>国内外研究现状：</w:t>
      </w:r>
    </w:p>
    <w:p>
      <w:pPr>
        <w:spacing w:line="360" w:lineRule="auto"/>
        <w:ind w:firstLineChars="200"/>
        <w:jc w:val="both"/>
        <w:numPr>
          <w:ilvl w:val="0"/>
          <w:numId w:val="0"/>
        </w:numPr>
        <w:outlineLvl w:val="2"/>
        <w:rPr>
          <w:rFonts w:ascii="宋体" w:hAnsi="宋体" w:eastAsia="宋体" w:cs="宋体"/>
          <w:b/>
          <w:bCs/>
          <w:sz w:val="28"/>
          <w:szCs w:val="28"/>
        </w:rPr>
      </w:pPr>
      <w:bookmarkStart w:name="__RefHeading___Toc224858176" w:id="7"/>
      <w:bookmarkEnd w:id="7"/>
      <w:r>
        <w:rPr>
          <w:rFonts w:ascii="Times New Roman" w:hAnsi="Times New Roman" w:eastAsia="宋体"/>
          <w:sz w:val="24"/>
          <w:szCs w:val="24"/>
        </w:rPr>
        <w:t>1.3.1</w:t>
      </w:r>
      <w:r>
        <w:rPr>
          <w:rFonts w:ascii="Times New Roman" w:hAnsi="Times New Roman" w:eastAsia="宋体"/>
          <w:sz w:val="24"/>
          <w:szCs w:val="24"/>
        </w:rPr>
        <w:t>国内现状</w:t>
      </w:r>
    </w:p>
    <w:p>
      <w:pPr>
        <w:spacing w:line="360" w:lineRule="auto"/>
        <w:ind w:firstLineChars="200"/>
        <w:jc w:val="both"/>
        <w:rPr>
          <w:rFonts w:ascii="宋体" w:hAnsi="宋体" w:eastAsia="宋体" w:cs="宋体"/>
          <w:sz w:val="24"/>
          <w:szCs w:val="24"/>
        </w:rPr>
      </w:pPr>
      <w:r>
        <w:rPr>
          <w:rFonts w:ascii="Times New Roman" w:hAnsi="Times New Roman" w:eastAsia="宋体"/>
          <w:sz w:val="24"/>
          <w:szCs w:val="24"/>
        </w:rPr>
        <w:t>随着生活条件的不断提高，</w:t>
      </w:r>
      <w:r>
        <w:rPr>
          <w:rFonts w:ascii="Times New Roman" w:hAnsi="Times New Roman" w:eastAsia="宋体"/>
          <w:sz w:val="24"/>
          <w:szCs w:val="24"/>
        </w:rPr>
        <w:t>2</w:t>
      </w:r>
      <w:r>
        <w:rPr>
          <w:rFonts w:ascii="Times New Roman" w:hAnsi="Times New Roman" w:eastAsia="宋体"/>
          <w:sz w:val="24"/>
          <w:szCs w:val="24"/>
        </w:rPr>
        <w:t>型糖尿病发病率逐年上升并且成为我国最常见的代谢性疾病之一</w:t>
      </w:r>
      <w:r>
        <w:rPr>
          <w:rFonts w:ascii="Times New Roman" w:hAnsi="Times New Roman" w:eastAsia="宋体"/>
          <w:sz w:val="24"/>
          <w:szCs w:val="24"/>
          <w:vertAlign w:val="superscript"/>
        </w:rPr>
        <w:t>[5]</w:t>
      </w:r>
      <w:r>
        <w:rPr>
          <w:rFonts w:ascii="Times New Roman" w:hAnsi="Times New Roman" w:eastAsia="宋体"/>
          <w:sz w:val="24"/>
          <w:szCs w:val="24"/>
        </w:rPr>
        <w:t>。社区作为疾病管理的关键场所，患者对疾病的认知水平直接影响治疗依从性和糖尿病的控制效果</w:t>
      </w:r>
      <w:r>
        <w:rPr>
          <w:rFonts w:ascii="Times New Roman" w:hAnsi="Times New Roman" w:eastAsia="宋体"/>
          <w:sz w:val="24"/>
          <w:szCs w:val="24"/>
          <w:vertAlign w:val="superscript"/>
        </w:rPr>
        <w:t>[3]</w:t>
      </w: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型糖尿病需长期自我管理，而患者对疾病知识的认知不足可能导致并发症风险的增加，加重家庭和社会的负担</w:t>
      </w:r>
      <w:r>
        <w:rPr>
          <w:rFonts w:ascii="Times New Roman" w:hAnsi="Times New Roman" w:eastAsia="宋体"/>
          <w:sz w:val="24"/>
          <w:szCs w:val="24"/>
          <w:vertAlign w:val="superscript"/>
        </w:rPr>
        <w:t>[6]</w:t>
      </w:r>
      <w:r>
        <w:rPr>
          <w:rFonts w:ascii="Times New Roman" w:hAnsi="Times New Roman" w:eastAsia="宋体"/>
          <w:sz w:val="24"/>
          <w:szCs w:val="24"/>
        </w:rPr>
        <w:t>。</w:t>
      </w:r>
      <w:r>
        <w:rPr>
          <w:rFonts w:ascii="Times New Roman" w:hAnsi="Times New Roman" w:eastAsia="宋体"/>
          <w:sz w:val="24"/>
          <w:szCs w:val="24"/>
        </w:rPr>
        <w:t>糖尿病患者饮食知识掌握不全面， 一方面</w:t>
      </w:r>
      <w:r>
        <w:rPr>
          <w:rFonts w:ascii="Times New Roman" w:hAnsi="Times New Roman" w:eastAsia="宋体"/>
          <w:sz w:val="24"/>
          <w:szCs w:val="24"/>
        </w:rPr>
        <w:t>可能</w:t>
      </w:r>
      <w:r>
        <w:rPr>
          <w:rFonts w:ascii="Times New Roman" w:hAnsi="Times New Roman" w:eastAsia="宋体"/>
          <w:sz w:val="24"/>
          <w:szCs w:val="24"/>
        </w:rPr>
        <w:t>是患者自身的原因； 另一方面</w:t>
      </w:r>
      <w:r>
        <w:rPr>
          <w:rFonts w:ascii="Times New Roman" w:hAnsi="Times New Roman" w:eastAsia="宋体"/>
          <w:sz w:val="24"/>
          <w:szCs w:val="24"/>
        </w:rPr>
        <w:t>可能</w:t>
      </w:r>
      <w:r>
        <w:rPr>
          <w:rFonts w:ascii="Times New Roman" w:hAnsi="Times New Roman" w:eastAsia="宋体"/>
          <w:sz w:val="24"/>
          <w:szCs w:val="24"/>
        </w:rPr>
        <w:t>是由于患者家属缺乏对饮食治疗认识</w:t>
      </w:r>
      <w:r>
        <w:rPr>
          <w:rFonts w:ascii="Times New Roman" w:hAnsi="Times New Roman" w:eastAsia="宋体"/>
          <w:sz w:val="24"/>
          <w:szCs w:val="24"/>
        </w:rPr>
        <w:t>。</w:t>
      </w:r>
    </w:p>
    <w:p>
      <w:pPr>
        <w:spacing w:line="360" w:lineRule="auto"/>
        <w:ind w:firstLineChars="200"/>
        <w:jc w:val="both"/>
        <w:numPr>
          <w:ilvl w:val="0"/>
          <w:numId w:val="0"/>
        </w:numPr>
        <w:outlineLvl w:val="2"/>
        <w:rPr>
          <w:rFonts w:ascii="宋体" w:hAnsi="宋体" w:eastAsia="宋体" w:cs="宋体"/>
          <w:b/>
          <w:bCs/>
          <w:sz w:val="28"/>
          <w:szCs w:val="28"/>
        </w:rPr>
      </w:pPr>
      <w:bookmarkStart w:name="__RefHeading___Toc224858177" w:id="8"/>
      <w:bookmarkEnd w:id="8"/>
      <w:r>
        <w:rPr>
          <w:rFonts w:ascii="Times New Roman" w:hAnsi="Times New Roman" w:eastAsia="宋体"/>
          <w:sz w:val="24"/>
          <w:szCs w:val="24"/>
        </w:rPr>
        <w:t>1.3.2</w:t>
      </w:r>
      <w:r>
        <w:rPr>
          <w:rFonts w:ascii="Times New Roman" w:hAnsi="Times New Roman" w:eastAsia="宋体"/>
          <w:sz w:val="24"/>
          <w:szCs w:val="24"/>
        </w:rPr>
        <w:t>国外研究现状：</w:t>
      </w:r>
    </w:p>
    <w:p>
      <w:pPr>
        <w:spacing w:line="360" w:lineRule="auto"/>
        <w:ind w:firstLineChars="200"/>
        <w:jc w:val="both"/>
        <w:rPr>
          <w:rFonts w:ascii="宋体" w:hAnsi="宋体" w:eastAsia="宋体" w:cs="宋体"/>
          <w:sz w:val="24"/>
          <w:szCs w:val="24"/>
        </w:rPr>
      </w:pPr>
      <w:r>
        <w:rPr>
          <w:rFonts w:ascii="Times New Roman" w:hAnsi="Times New Roman" w:eastAsia="宋体"/>
          <w:sz w:val="24"/>
          <w:szCs w:val="24"/>
        </w:rPr>
        <w:t>近年来，</w:t>
      </w:r>
      <w:r>
        <w:rPr>
          <w:rFonts w:ascii="Times New Roman" w:hAnsi="Times New Roman" w:eastAsia="宋体"/>
          <w:sz w:val="24"/>
          <w:szCs w:val="24"/>
        </w:rPr>
        <w:t>2</w:t>
      </w:r>
      <w:r>
        <w:rPr>
          <w:rFonts w:ascii="Times New Roman" w:hAnsi="Times New Roman" w:eastAsia="宋体"/>
          <w:sz w:val="24"/>
          <w:szCs w:val="24"/>
        </w:rPr>
        <w:t>型糖尿病（</w:t>
      </w:r>
      <w:r>
        <w:rPr>
          <w:rFonts w:ascii="Times New Roman" w:hAnsi="Times New Roman" w:eastAsia="宋体"/>
          <w:sz w:val="24"/>
          <w:szCs w:val="24"/>
        </w:rPr>
        <w:t>T2DM</w:t>
      </w:r>
      <w:r>
        <w:rPr>
          <w:rFonts w:ascii="Times New Roman" w:hAnsi="Times New Roman" w:eastAsia="宋体"/>
          <w:sz w:val="24"/>
          <w:szCs w:val="24"/>
        </w:rPr>
        <w:t>）已成为各个国家最常见的非传染性疾病之一</w:t>
      </w:r>
      <w:r>
        <w:rPr>
          <w:rFonts w:ascii="Times New Roman" w:hAnsi="Times New Roman" w:eastAsia="宋体"/>
          <w:sz w:val="24"/>
          <w:szCs w:val="24"/>
          <w:vertAlign w:val="superscript"/>
        </w:rPr>
        <w:t>[7]</w:t>
      </w:r>
      <w:r>
        <w:rPr>
          <w:rFonts w:ascii="Times New Roman" w:hAnsi="Times New Roman" w:eastAsia="宋体"/>
          <w:sz w:val="24"/>
          <w:szCs w:val="24"/>
        </w:rPr>
        <w:t>。由于与经济转型、全球化和城市化相关的生活方式改变，亚洲已成为</w:t>
      </w:r>
      <w:r>
        <w:rPr>
          <w:rFonts w:ascii="Times New Roman" w:hAnsi="Times New Roman" w:eastAsia="宋体"/>
          <w:sz w:val="24"/>
          <w:szCs w:val="24"/>
        </w:rPr>
        <w:t>T2DM</w:t>
      </w:r>
      <w:r>
        <w:rPr>
          <w:rFonts w:ascii="Times New Roman" w:hAnsi="Times New Roman" w:eastAsia="宋体"/>
          <w:sz w:val="24"/>
          <w:szCs w:val="24"/>
        </w:rPr>
        <w:t>国家增长最快的公共卫生问题之一</w:t>
      </w:r>
      <w:r>
        <w:rPr>
          <w:rFonts w:ascii="Times New Roman" w:hAnsi="Times New Roman" w:eastAsia="宋体"/>
          <w:sz w:val="24"/>
          <w:szCs w:val="24"/>
          <w:vertAlign w:val="superscript"/>
        </w:rPr>
        <w:t>[7]</w:t>
      </w:r>
      <w:r>
        <w:rPr>
          <w:rFonts w:ascii="Times New Roman" w:hAnsi="Times New Roman" w:eastAsia="宋体"/>
          <w:sz w:val="24"/>
          <w:szCs w:val="24"/>
        </w:rPr>
        <w:t>。其中糖尿病的发病率与长期以来地区的饮食习惯和经济条件而影响的饮食相关</w:t>
      </w:r>
      <w:r>
        <w:rPr>
          <w:rFonts w:ascii="Times New Roman" w:hAnsi="Times New Roman" w:eastAsia="宋体"/>
          <w:sz w:val="24"/>
          <w:szCs w:val="24"/>
          <w:vertAlign w:val="superscript"/>
        </w:rPr>
        <w:t>[7]</w:t>
      </w:r>
      <w:r>
        <w:rPr>
          <w:rFonts w:ascii="Times New Roman" w:hAnsi="Times New Roman" w:eastAsia="宋体"/>
          <w:sz w:val="24"/>
          <w:szCs w:val="24"/>
        </w:rPr>
        <w:t>。在国外，通常每个医疗中心建设就会建立一支多学科团队，他们从各自出发，一起合作对患者进行治疗和护理，国外大部分发达国家对于多学科</w:t>
      </w:r>
      <w:r>
        <w:rPr>
          <w:rFonts w:ascii="Times New Roman" w:hAnsi="Times New Roman" w:eastAsia="宋体"/>
          <w:sz w:val="24"/>
          <w:szCs w:val="24"/>
        </w:rPr>
        <w:t>团队模式在糖尿病管理上的应用已形成 一套完整的体系，并纳入国家卫生保健政策中，这在提高医院及社区糖尿病防控水平上 发挥了巨大作用</w:t>
      </w:r>
      <w:r>
        <w:rPr>
          <w:rFonts w:ascii="Times New Roman" w:hAnsi="Times New Roman" w:eastAsia="宋体"/>
          <w:sz w:val="24"/>
          <w:szCs w:val="24"/>
          <w:vertAlign w:val="superscript"/>
        </w:rPr>
        <w:t>[2]</w:t>
      </w:r>
      <w:r>
        <w:rPr>
          <w:rFonts w:ascii="Times New Roman" w:hAnsi="Times New Roman" w:eastAsia="宋体"/>
          <w:sz w:val="24"/>
          <w:szCs w:val="24"/>
        </w:rPr>
        <w:t>。</w:t>
      </w:r>
    </w:p>
    <w:p>
      <w:pPr>
        <w:spacing w:beforeLines="100" w:afterLines="100"/>
        <w:jc w:val="left"/>
        <w:numPr>
          <w:ilvl w:val="0"/>
          <w:numId w:val="0"/>
        </w:numPr>
        <w:snapToGrid w:val="false"/>
        <w:outlineLvl w:val="0"/>
        <w:rPr>
          <w:rFonts w:ascii="宋体" w:hAnsi="宋体" w:eastAsia="宋体" w:cs="宋体"/>
          <w:b/>
          <w:bCs/>
          <w:sz w:val="32"/>
          <w:szCs w:val="32"/>
        </w:rPr>
      </w:pPr>
      <w:bookmarkStart w:name="__RefHeading___Toc224858178" w:id="9"/>
      <w:bookmarkEnd w:id="9"/>
      <w:r>
        <w:rPr>
          <w:rFonts w:ascii="宋体" w:hAnsi="宋体" w:eastAsia=""/>
          <w:sz w:val="32"/>
          <w:szCs w:val="32"/>
          <w:b/>
          <w:bCs/>
        </w:rPr>
        <w:t xml:space="preserve">2 </w:t>
      </w:r>
      <w:r>
        <w:rPr>
          <w:rFonts w:ascii="宋体" w:hAnsi="宋体" w:eastAsia=""/>
          <w:sz w:val="32"/>
          <w:szCs w:val="32"/>
          <w:b/>
          <w:bCs/>
        </w:rPr>
        <w:t>研究对象与方法</w:t>
      </w:r>
    </w:p>
    <w:p>
      <w:pPr>
        <w:spacing w:line="360" w:lineRule="auto"/>
        <w:numPr>
          <w:ilvl w:val="0"/>
          <w:numId w:val="0"/>
        </w:numPr>
        <w:outlineLvl w:val="1"/>
        <w:rPr>
          <w:rFonts w:ascii="宋体" w:hAnsi="宋体" w:eastAsia="宋体" w:cs="宋体"/>
          <w:b/>
          <w:sz w:val="30"/>
          <w:szCs w:val="30"/>
        </w:rPr>
      </w:pPr>
      <w:bookmarkStart w:name="__RefHeading___Toc224858179" w:id="10"/>
      <w:bookmarkEnd w:id="10"/>
      <w:r>
        <w:rPr>
          <w:rFonts w:ascii="宋体" w:hAnsi="宋体" w:eastAsia=""/>
          <w:sz w:val="30"/>
          <w:szCs w:val="30"/>
          <w:b/>
          <w:bCs/>
        </w:rPr>
        <w:t xml:space="preserve">2.1 </w:t>
      </w:r>
      <w:r>
        <w:rPr>
          <w:rFonts w:ascii="宋体" w:hAnsi="宋体" w:eastAsia=""/>
          <w:sz w:val="30"/>
          <w:szCs w:val="30"/>
          <w:b/>
          <w:bCs/>
        </w:rPr>
        <w:t>研究对象</w:t>
      </w:r>
    </w:p>
    <w:p>
      <w:pPr>
        <w:spacing w:line="360" w:lineRule="auto"/>
        <w:numPr>
          <w:ilvl w:val="0"/>
          <w:numId w:val="0"/>
        </w:numPr>
        <w:outlineLvl w:val="2"/>
        <w:rPr>
          <w:rFonts w:ascii="宋体" w:hAnsi="宋体" w:eastAsia="宋体" w:cs="宋体"/>
          <w:b/>
          <w:sz w:val="28"/>
          <w:szCs w:val="28"/>
        </w:rPr>
      </w:pPr>
      <w:bookmarkStart w:name="__RefHeading___Toc224858180" w:id="11"/>
      <w:bookmarkEnd w:id="11"/>
      <w:r>
        <w:rPr>
          <w:rFonts w:ascii="宋体" w:hAnsi="宋体" w:eastAsia=""/>
          <w:sz w:val="28"/>
          <w:szCs w:val="28"/>
          <w:b/>
          <w:bCs/>
        </w:rPr>
        <w:t xml:space="preserve">2.1.1 </w:t>
      </w:r>
      <w:r>
        <w:rPr>
          <w:rFonts w:ascii="宋体" w:hAnsi="宋体" w:eastAsia=""/>
          <w:sz w:val="28"/>
          <w:szCs w:val="28"/>
          <w:b/>
          <w:bCs/>
        </w:rPr>
        <w:t>研究对象选择</w:t>
      </w:r>
      <w:r>
        <w:rPr>
          <w:rFonts w:ascii="宋体" w:hAnsi="宋体" w:eastAsia=""/>
          <w:sz w:val="28"/>
          <w:szCs w:val="28"/>
          <w:b/>
          <w:bCs/>
          <w:vanish w:val="false"/>
        </w:rPr>
        <w:commentReference w:id="0"/>
      </w:r>
    </w:p>
    <w:p>
      <w:pPr>
        <w:spacing w:line="360" w:lineRule="auto"/>
        <w:ind w:firstLineChars="200"/>
        <w:jc w:val="both"/>
        <w:rPr>
          <w:rFonts w:ascii="宋体" w:hAnsi="宋体" w:eastAsia="宋体" w:cs="宋体"/>
          <w:sz w:val="24"/>
          <w:szCs w:val="24"/>
        </w:rPr>
      </w:pPr>
      <w:r>
        <w:rPr>
          <w:rFonts w:ascii="Times New Roman" w:hAnsi="Times New Roman" w:eastAsia="宋体"/>
          <w:sz w:val="24"/>
          <w:szCs w:val="24"/>
        </w:rPr>
        <w:t>本研究以社区</w:t>
      </w:r>
      <w:r>
        <w:rPr>
          <w:rFonts w:ascii="Times New Roman" w:hAnsi="Times New Roman" w:eastAsia="宋体"/>
          <w:sz w:val="24"/>
          <w:szCs w:val="24"/>
        </w:rPr>
        <w:t>2</w:t>
      </w:r>
      <w:r>
        <w:rPr>
          <w:rFonts w:ascii="Times New Roman" w:hAnsi="Times New Roman" w:eastAsia="宋体"/>
          <w:sz w:val="24"/>
          <w:szCs w:val="24"/>
        </w:rPr>
        <w:t>型糖尿病患者为研究对象，采用</w:t>
      </w:r>
      <w:commentRangeStart w:id="1"/>
      <w:r>
        <w:rPr>
          <w:rFonts w:ascii="Times New Roman" w:hAnsi="Times New Roman" w:eastAsia="宋体"/>
          <w:sz w:val="24"/>
          <w:szCs w:val="24"/>
        </w:rPr>
        <w:t>简单随机抽样法</w:t>
      </w:r>
      <w:r>
        <w:rPr>
          <w:rFonts w:ascii="Times New Roman" w:hAnsi="Times New Roman" w:eastAsia="宋体"/>
          <w:sz w:val="24"/>
          <w:szCs w:val="24"/>
          <w:vanish w:val="false"/>
        </w:rPr>
      </w:r>
      <w:commentRangeEnd w:id="1"/>
      <w:r>
        <w:rPr>
          <w:rFonts w:ascii="Times New Roman" w:hAnsi="Times New Roman" w:eastAsia="宋体"/>
          <w:sz w:val="24"/>
          <w:szCs w:val="24"/>
        </w:rPr>
        <w:commentReference w:id="1"/>
      </w:r>
      <w:r>
        <w:rPr>
          <w:rFonts w:ascii="Times New Roman" w:hAnsi="Times New Roman" w:eastAsia="宋体"/>
          <w:sz w:val="24"/>
          <w:szCs w:val="24"/>
        </w:rPr>
        <w:t>，对符合纳入标准的研究对象进行编号，再通过随机数字表抽取样本，选取符合重庆长寿区渡舟社区、胜天社区、新道路社区以及向阳社区的</w:t>
      </w:r>
      <w:r>
        <w:rPr>
          <w:rFonts w:ascii="Times New Roman" w:hAnsi="Times New Roman" w:eastAsia="宋体"/>
          <w:sz w:val="24"/>
          <w:szCs w:val="24"/>
        </w:rPr>
        <w:t>2</w:t>
      </w:r>
      <w:r>
        <w:rPr>
          <w:rFonts w:ascii="Times New Roman" w:hAnsi="Times New Roman" w:eastAsia="宋体"/>
          <w:sz w:val="24"/>
          <w:szCs w:val="24"/>
        </w:rPr>
        <w:t>型糖尿病的患者。</w:t>
      </w:r>
    </w:p>
    <w:p>
      <w:pPr>
        <w:spacing w:line="360" w:lineRule="auto"/>
        <w:numPr>
          <w:ilvl w:val="0"/>
          <w:numId w:val="0"/>
        </w:numPr>
        <w:outlineLvl w:val="2"/>
        <w:rPr>
          <w:rFonts w:ascii="宋体" w:hAnsi="宋体" w:eastAsia="宋体" w:cs="宋体"/>
          <w:b/>
          <w:sz w:val="28"/>
          <w:szCs w:val="28"/>
        </w:rPr>
      </w:pPr>
      <w:bookmarkStart w:name="__RefHeading___Toc224858181" w:id="12"/>
      <w:bookmarkEnd w:id="12"/>
      <w:r>
        <w:rPr>
          <w:rFonts w:ascii="宋体" w:hAnsi="宋体" w:eastAsia=""/>
          <w:sz w:val="28"/>
          <w:szCs w:val="28"/>
          <w:b/>
          <w:bCs/>
        </w:rPr>
        <w:t xml:space="preserve">2.1.2 </w:t>
      </w:r>
      <w:r>
        <w:rPr>
          <w:rFonts w:ascii="宋体" w:hAnsi="宋体" w:eastAsia=""/>
          <w:sz w:val="28"/>
          <w:szCs w:val="28"/>
          <w:b/>
          <w:bCs/>
        </w:rPr>
        <w:t>纳入标准</w:t>
      </w:r>
    </w:p>
    <w:p>
      <w:pPr>
        <w:spacing w:line="360" w:lineRule="auto"/>
        <w:ind w:firstLineChars="200"/>
        <w:jc w:val="both"/>
        <w:rPr>
          <w:rFonts w:ascii="宋体" w:hAnsi="宋体" w:eastAsia="宋体" w:cs="宋体"/>
          <w:b/>
          <w:sz w:val="28"/>
          <w:szCs w:val="28"/>
        </w:rPr>
      </w:pP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）选取符合</w:t>
      </w:r>
      <w:r>
        <w:rPr>
          <w:rFonts w:ascii="Times New Roman" w:hAnsi="Times New Roman" w:eastAsia="宋体"/>
          <w:sz w:val="24"/>
          <w:szCs w:val="24"/>
        </w:rPr>
        <w:t>《中国</w:t>
      </w:r>
      <w:r>
        <w:rPr>
          <w:rFonts w:ascii="Times New Roman" w:hAnsi="Times New Roman" w:eastAsia="宋体"/>
          <w:sz w:val="24"/>
          <w:szCs w:val="24"/>
        </w:rPr>
        <w:t>2</w:t>
      </w:r>
      <w:r>
        <w:rPr>
          <w:rFonts w:ascii="Times New Roman" w:hAnsi="Times New Roman" w:eastAsia="宋体"/>
          <w:sz w:val="24"/>
          <w:szCs w:val="24"/>
        </w:rPr>
        <w:t>型糖尿病防治指南》诊断标准的社区常住患者</w:t>
      </w:r>
    </w:p>
    <w:p>
      <w:pPr>
        <w:spacing w:line="360" w:lineRule="auto"/>
        <w:ind w:firstLineChars="200"/>
        <w:jc w:val="both"/>
        <w:rPr>
          <w:rFonts w:ascii="宋体" w:hAnsi="宋体" w:eastAsia="宋体" w:cs="宋体"/>
          <w:b/>
          <w:sz w:val="28"/>
          <w:szCs w:val="28"/>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）年龄</w:t>
      </w:r>
      <w:r>
        <w:rPr>
          <w:rFonts w:ascii="Times New Roman" w:hAnsi="Times New Roman" w:eastAsia="宋体"/>
          <w:sz w:val="24"/>
          <w:szCs w:val="24"/>
        </w:rPr>
        <w:t>18-80</w:t>
      </w:r>
      <w:r>
        <w:rPr>
          <w:rFonts w:ascii="Times New Roman" w:hAnsi="Times New Roman" w:eastAsia="宋体"/>
          <w:sz w:val="24"/>
          <w:szCs w:val="24"/>
        </w:rPr>
        <w:t>周岁的患者</w:t>
      </w:r>
    </w:p>
    <w:p>
      <w:pPr>
        <w:spacing w:line="360" w:lineRule="auto"/>
        <w:ind w:firstLineChars="200"/>
        <w:jc w:val="both"/>
        <w:rPr>
          <w:rFonts w:ascii="宋体" w:hAnsi="宋体" w:eastAsia="宋体" w:cs="宋体"/>
          <w:b/>
          <w:sz w:val="28"/>
          <w:szCs w:val="28"/>
        </w:rPr>
      </w:pPr>
      <w:r>
        <w:rPr>
          <w:rFonts w:ascii="Times New Roman" w:hAnsi="Times New Roman" w:eastAsia="宋体"/>
          <w:sz w:val="24"/>
          <w:szCs w:val="24"/>
        </w:rPr>
        <w:t>（</w:t>
      </w:r>
      <w:r>
        <w:rPr>
          <w:rFonts w:ascii="Times New Roman" w:hAnsi="Times New Roman" w:eastAsia="宋体"/>
          <w:sz w:val="24"/>
          <w:szCs w:val="24"/>
        </w:rPr>
        <w:t>3</w:t>
      </w:r>
      <w:r>
        <w:rPr>
          <w:rFonts w:ascii="Times New Roman" w:hAnsi="Times New Roman" w:eastAsia="宋体"/>
          <w:sz w:val="24"/>
          <w:szCs w:val="24"/>
        </w:rPr>
        <w:t>）意识清楚，能够配合完成问卷调查</w:t>
      </w:r>
    </w:p>
    <w:p>
      <w:pPr>
        <w:spacing w:line="360" w:lineRule="auto"/>
        <w:numPr>
          <w:ilvl w:val="0"/>
          <w:numId w:val="0"/>
        </w:numPr>
        <w:outlineLvl w:val="2"/>
        <w:rPr>
          <w:rFonts w:ascii="宋体" w:hAnsi="宋体" w:eastAsia="宋体" w:cs="宋体"/>
          <w:b/>
          <w:bCs/>
          <w:sz w:val="28"/>
          <w:szCs w:val="28"/>
        </w:rPr>
      </w:pPr>
      <w:bookmarkStart w:name="__RefHeading___Toc224858182" w:id="13"/>
      <w:bookmarkEnd w:id="13"/>
      <w:r>
        <w:rPr>
          <w:rFonts w:ascii="宋体" w:hAnsi="宋体" w:eastAsia=""/>
          <w:sz w:val="28"/>
          <w:szCs w:val="28"/>
          <w:b/>
          <w:bCs/>
        </w:rPr>
        <w:t xml:space="preserve">2.1.3 </w:t>
      </w:r>
      <w:r>
        <w:rPr>
          <w:rFonts w:ascii="宋体" w:hAnsi="宋体" w:eastAsia=""/>
          <w:sz w:val="28"/>
          <w:szCs w:val="28"/>
          <w:b/>
          <w:bCs/>
        </w:rPr>
        <w:t>排除标准</w:t>
      </w:r>
    </w:p>
    <w:p>
      <w:pPr>
        <w:spacing w:line="360" w:lineRule="auto"/>
        <w:ind w:firstLineChars="200"/>
        <w:jc w:val="both"/>
        <w:rPr>
          <w:rFonts w:ascii="宋体" w:hAnsi="宋体" w:eastAsia="宋体" w:cs="宋体"/>
          <w:b/>
          <w:sz w:val="28"/>
          <w:szCs w:val="28"/>
        </w:rPr>
      </w:pP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）合并严重心、肝、肾等脏器功能不全，可能影响患者认知和配合度</w:t>
      </w:r>
    </w:p>
    <w:p>
      <w:pPr>
        <w:spacing w:line="360" w:lineRule="auto"/>
        <w:ind w:firstLineChars="200"/>
        <w:jc w:val="both"/>
        <w:rPr>
          <w:rFonts w:ascii="宋体" w:hAnsi="宋体" w:eastAsia="宋体" w:cs="宋体"/>
          <w:b/>
          <w:sz w:val="28"/>
          <w:szCs w:val="28"/>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）精神疾病患者，无法准确回答问题</w:t>
      </w:r>
    </w:p>
    <w:p>
      <w:pPr>
        <w:spacing w:line="360" w:lineRule="auto"/>
        <w:ind w:firstLineChars="200"/>
        <w:jc w:val="both"/>
        <w:rPr>
          <w:rFonts w:ascii="宋体" w:hAnsi="宋体" w:eastAsia="宋体" w:cs="宋体"/>
          <w:b/>
          <w:sz w:val="28"/>
          <w:szCs w:val="28"/>
        </w:rPr>
      </w:pPr>
      <w:r>
        <w:rPr>
          <w:rFonts w:ascii="Times New Roman" w:hAnsi="Times New Roman" w:eastAsia="宋体"/>
          <w:sz w:val="24"/>
          <w:szCs w:val="24"/>
        </w:rPr>
        <w:t>（</w:t>
      </w:r>
      <w:r>
        <w:rPr>
          <w:rFonts w:ascii="Times New Roman" w:hAnsi="Times New Roman" w:eastAsia="宋体"/>
          <w:sz w:val="24"/>
          <w:szCs w:val="24"/>
        </w:rPr>
        <w:t>3</w:t>
      </w:r>
      <w:r>
        <w:rPr>
          <w:rFonts w:ascii="Times New Roman" w:hAnsi="Times New Roman" w:eastAsia="宋体"/>
          <w:sz w:val="24"/>
          <w:szCs w:val="24"/>
        </w:rPr>
        <w:t>）近期有重大生活事件或疾病发作，可能影响患者对疾病知识的认知</w:t>
      </w:r>
    </w:p>
    <w:p>
      <w:pPr>
        <w:spacing w:line="360" w:lineRule="auto"/>
        <w:numPr>
          <w:ilvl w:val="0"/>
          <w:numId w:val="0"/>
        </w:numPr>
        <w:outlineLvl w:val="2"/>
        <w:rPr>
          <w:rFonts w:ascii="宋体" w:hAnsi="宋体" w:eastAsia="宋体" w:cs="宋体"/>
          <w:b/>
          <w:bCs/>
          <w:sz w:val="28"/>
          <w:szCs w:val="28"/>
        </w:rPr>
      </w:pPr>
      <w:bookmarkStart w:name="__RefHeading___Toc224858183" w:id="14"/>
      <w:bookmarkEnd w:id="14"/>
      <w:r>
        <w:rPr>
          <w:rFonts w:ascii="宋体" w:hAnsi="宋体" w:eastAsia=""/>
          <w:sz w:val="28"/>
          <w:szCs w:val="28"/>
          <w:b/>
          <w:bCs/>
        </w:rPr>
        <w:t xml:space="preserve">2.1.4 </w:t>
      </w:r>
      <w:r>
        <w:rPr>
          <w:rFonts w:ascii="宋体" w:hAnsi="宋体" w:eastAsia=""/>
          <w:sz w:val="28"/>
          <w:szCs w:val="28"/>
          <w:b/>
          <w:bCs/>
        </w:rPr>
        <w:t>样本量的计算</w:t>
      </w:r>
      <w:r>
        <w:rPr>
          <w:rFonts w:ascii="宋体" w:hAnsi="宋体" w:eastAsia=""/>
          <w:sz w:val="28"/>
          <w:szCs w:val="28"/>
          <w:b/>
          <w:bCs/>
          <w:vanish w:val="false"/>
        </w:rPr>
        <w:commentReference w:id="2"/>
      </w:r>
    </w:p>
    <w:p>
      <w:pPr>
        <w:spacing w:line="360" w:lineRule="auto"/>
        <w:ind w:firstLineChars="200"/>
        <w:jc w:val="both"/>
        <w:rPr>
          <w:rFonts w:ascii="宋体" w:hAnsi="宋体" w:eastAsia="宋体" w:cs="宋体"/>
          <w:caps/>
          <w:sz w:val="24"/>
          <w:szCs w:val="24"/>
        </w:rPr>
      </w:pPr>
      <w:r>
        <w:rPr>
          <w:rFonts w:ascii="Times New Roman" w:hAnsi="Times New Roman" w:eastAsia="宋体"/>
          <w:sz w:val="24"/>
          <w:szCs w:val="24"/>
          <w:caps/>
        </w:rPr>
        <w:t>本研究问卷内容包括一般资料</w:t>
      </w:r>
      <w:r>
        <w:rPr>
          <w:rFonts w:ascii="Times New Roman" w:hAnsi="Times New Roman" w:eastAsia="宋体"/>
          <w:sz w:val="24"/>
          <w:szCs w:val="24"/>
          <w:caps/>
        </w:rPr>
        <w:t>15</w:t>
      </w:r>
      <w:r>
        <w:rPr>
          <w:rFonts w:ascii="Times New Roman" w:hAnsi="Times New Roman" w:eastAsia="宋体"/>
          <w:sz w:val="24"/>
          <w:szCs w:val="24"/>
          <w:caps/>
        </w:rPr>
        <w:t>项，糖尿病知识测试问卷</w:t>
      </w:r>
      <w:r>
        <w:rPr>
          <w:rFonts w:ascii="Times New Roman" w:hAnsi="Times New Roman" w:eastAsia="宋体"/>
          <w:sz w:val="24"/>
          <w:szCs w:val="24"/>
          <w:caps/>
        </w:rPr>
        <w:t>23</w:t>
      </w:r>
      <w:r>
        <w:rPr>
          <w:rFonts w:ascii="Times New Roman" w:hAnsi="Times New Roman" w:eastAsia="宋体"/>
          <w:sz w:val="24"/>
          <w:szCs w:val="24"/>
          <w:caps/>
        </w:rPr>
        <w:t>项，共计</w:t>
      </w:r>
      <w:r>
        <w:rPr>
          <w:rFonts w:ascii="Times New Roman" w:hAnsi="Times New Roman" w:eastAsia="宋体"/>
          <w:sz w:val="24"/>
          <w:szCs w:val="24"/>
          <w:caps/>
        </w:rPr>
        <w:t>38</w:t>
      </w:r>
      <w:r>
        <w:rPr>
          <w:rFonts w:ascii="Times New Roman" w:hAnsi="Times New Roman" w:eastAsia="宋体"/>
          <w:sz w:val="24"/>
          <w:szCs w:val="24"/>
          <w:caps/>
        </w:rPr>
        <w:t>项，选取问卷数量的</w:t>
      </w:r>
      <w:r>
        <w:rPr>
          <w:rFonts w:ascii="Times New Roman" w:hAnsi="Times New Roman" w:eastAsia="宋体"/>
          <w:sz w:val="24"/>
          <w:szCs w:val="24"/>
          <w:caps/>
        </w:rPr>
        <w:t>5</w:t>
      </w:r>
      <w:r>
        <w:rPr>
          <w:rFonts w:ascii="Times New Roman" w:hAnsi="Times New Roman" w:eastAsia="宋体"/>
          <w:sz w:val="24"/>
          <w:szCs w:val="24"/>
          <w:caps/>
        </w:rPr>
        <w:t>倍条目计算，考虑</w:t>
      </w:r>
      <w:r>
        <w:rPr>
          <w:rFonts w:ascii="Times New Roman" w:hAnsi="Times New Roman" w:eastAsia="宋体"/>
          <w:sz w:val="24"/>
          <w:szCs w:val="24"/>
          <w:caps/>
        </w:rPr>
        <w:t>20%</w:t>
      </w:r>
      <w:r>
        <w:rPr>
          <w:rFonts w:ascii="Times New Roman" w:hAnsi="Times New Roman" w:eastAsia="宋体"/>
          <w:sz w:val="24"/>
          <w:szCs w:val="24"/>
          <w:caps/>
        </w:rPr>
        <w:t>的无效问卷，一共收集</w:t>
      </w:r>
      <w:r>
        <w:rPr>
          <w:rFonts w:ascii="Times New Roman" w:hAnsi="Times New Roman" w:eastAsia="宋体"/>
          <w:sz w:val="24"/>
          <w:szCs w:val="24"/>
          <w:caps/>
        </w:rPr>
        <w:t>202</w:t>
      </w:r>
      <w:r>
        <w:rPr>
          <w:rFonts w:ascii="Times New Roman" w:hAnsi="Times New Roman" w:eastAsia="宋体"/>
          <w:sz w:val="24"/>
          <w:szCs w:val="24"/>
          <w:caps/>
        </w:rPr>
        <w:t>份问卷，剔除无效问卷后共</w:t>
      </w:r>
      <w:r>
        <w:rPr>
          <w:rFonts w:ascii="Times New Roman" w:hAnsi="Times New Roman" w:eastAsia="宋体"/>
          <w:sz w:val="24"/>
          <w:szCs w:val="24"/>
          <w:caps/>
        </w:rPr>
        <w:t>190</w:t>
      </w:r>
      <w:r>
        <w:rPr>
          <w:rFonts w:ascii="Times New Roman" w:hAnsi="Times New Roman" w:eastAsia="宋体"/>
          <w:sz w:val="24"/>
          <w:szCs w:val="24"/>
          <w:caps/>
        </w:rPr>
        <w:t>份问卷，问卷有效率为</w:t>
      </w:r>
      <w:r>
        <w:rPr>
          <w:rFonts w:ascii="Times New Roman" w:hAnsi="Times New Roman" w:eastAsia="宋体"/>
          <w:sz w:val="24"/>
          <w:szCs w:val="24"/>
          <w:caps/>
        </w:rPr>
        <w:t>94%</w:t>
      </w:r>
      <w:r>
        <w:rPr>
          <w:rFonts w:ascii="Times New Roman" w:hAnsi="Times New Roman" w:eastAsia="宋体"/>
          <w:sz w:val="24"/>
          <w:szCs w:val="24"/>
          <w:caps/>
        </w:rPr>
        <w:t>。</w:t>
      </w:r>
    </w:p>
    <w:p>
      <w:pPr>
        <w:spacing w:line="360" w:lineRule="auto"/>
        <w:ind w:firstLineChars="200"/>
        <w:jc w:val="both"/>
        <w:numPr>
          <w:ilvl w:val="0"/>
          <w:numId w:val="0"/>
        </w:numPr>
        <w:outlineLvl w:val="2"/>
        <w:rPr>
          <w:rFonts w:ascii="宋体" w:hAnsi="宋体" w:eastAsia="宋体" w:cs="宋体"/>
          <w:b/>
          <w:bCs/>
          <w:sz w:val="28"/>
          <w:szCs w:val="28"/>
        </w:rPr>
      </w:pPr>
      <w:bookmarkStart w:name="__RefHeading___Toc224858184" w:id="15"/>
      <w:bookmarkEnd w:id="15"/>
      <w:r>
        <w:rPr>
          <w:rFonts w:ascii="Times New Roman" w:hAnsi="Times New Roman" w:eastAsia="宋体"/>
          <w:sz w:val="24"/>
          <w:szCs w:val="24"/>
        </w:rPr>
        <w:t>2.1.5</w:t>
      </w:r>
      <w:r>
        <w:rPr>
          <w:rFonts w:ascii="Times New Roman" w:hAnsi="Times New Roman" w:eastAsia="宋体"/>
          <w:sz w:val="24"/>
          <w:szCs w:val="24"/>
        </w:rPr>
        <w:t>统计方法</w:t>
      </w:r>
    </w:p>
    <w:p>
      <w:pPr>
        <w:spacing w:line="360" w:lineRule="auto"/>
        <w:ind w:firstLineChars="200"/>
        <w:jc w:val="both"/>
        <w:rPr>
          <w:rFonts w:ascii="宋体" w:hAnsi="宋体" w:eastAsia="宋体" w:cs="宋体"/>
          <w:sz w:val="24"/>
          <w:szCs w:val="24"/>
        </w:rPr>
      </w:pPr>
      <w:r>
        <w:rPr>
          <w:rFonts w:ascii="Times New Roman" w:hAnsi="Times New Roman" w:eastAsia="宋体"/>
          <w:sz w:val="24"/>
          <w:szCs w:val="24"/>
        </w:rPr>
        <w:t>采用</w:t>
      </w:r>
      <w:r>
        <w:rPr>
          <w:rFonts w:ascii="Times New Roman" w:hAnsi="Times New Roman" w:eastAsia="宋体"/>
          <w:sz w:val="24"/>
          <w:szCs w:val="24"/>
        </w:rPr>
        <w:t>Epidata3.1</w:t>
      </w:r>
      <w:r>
        <w:rPr>
          <w:rFonts w:ascii="Times New Roman" w:hAnsi="Times New Roman" w:eastAsia="宋体"/>
          <w:sz w:val="24"/>
          <w:szCs w:val="24"/>
        </w:rPr>
        <w:t xml:space="preserve">建立数据库，采用 </w:t>
      </w:r>
      <w:r>
        <w:rPr>
          <w:rFonts w:ascii="Times New Roman" w:hAnsi="Times New Roman" w:eastAsia="宋体"/>
          <w:sz w:val="24"/>
          <w:szCs w:val="24"/>
        </w:rPr>
        <w:t>SPSS20.0</w:t>
      </w:r>
      <w:r>
        <w:rPr>
          <w:rFonts w:ascii="Times New Roman" w:hAnsi="Times New Roman" w:eastAsia="宋体"/>
          <w:sz w:val="24"/>
          <w:szCs w:val="24"/>
        </w:rPr>
        <w:t>软件进行数据分析；计数资料以</w:t>
      </w:r>
      <w:r>
        <w:rPr>
          <w:rFonts w:ascii="Times New Roman" w:hAnsi="Times New Roman" w:eastAsia="宋体"/>
          <w:sz w:val="24"/>
          <w:szCs w:val="24"/>
        </w:rPr>
        <w:t>n</w:t>
      </w:r>
      <w:r>
        <w:rPr>
          <w:rFonts w:ascii="Times New Roman" w:hAnsi="Times New Roman" w:eastAsia="宋体"/>
          <w:sz w:val="24"/>
          <w:szCs w:val="24"/>
        </w:rPr>
        <w:t>（</w:t>
      </w:r>
      <w:r>
        <w:rPr>
          <w:rFonts w:ascii="Times New Roman" w:hAnsi="Times New Roman" w:eastAsia="宋体"/>
          <w:sz w:val="24"/>
          <w:szCs w:val="24"/>
        </w:rPr>
        <w:t>%</w:t>
      </w:r>
      <w:r>
        <w:rPr>
          <w:rFonts w:ascii="Times New Roman" w:hAnsi="Times New Roman" w:eastAsia="宋体"/>
          <w:sz w:val="24"/>
          <w:szCs w:val="24"/>
        </w:rPr>
        <w:t>）表示， 采用</w:t>
      </w:r>
      <w:r>
        <w:rPr>
          <w:rFonts w:ascii="Times New Roman" w:hAnsi="Times New Roman" w:eastAsia="宋体"/>
          <w:sz w:val="24"/>
          <w:szCs w:val="24"/>
        </w:rPr>
        <w:t>χ</w:t>
      </w:r>
      <w:r>
        <w:rPr>
          <w:rFonts w:ascii="Times New Roman" w:hAnsi="Times New Roman" w:eastAsia="宋体"/>
          <w:sz w:val="24"/>
          <w:szCs w:val="24"/>
          <w:vertAlign w:val="superscript"/>
        </w:rPr>
        <w:t>2</w:t>
      </w:r>
      <w:r>
        <w:rPr>
          <w:rFonts w:ascii="Times New Roman" w:hAnsi="Times New Roman" w:eastAsia="宋体"/>
          <w:sz w:val="24"/>
          <w:szCs w:val="24"/>
        </w:rPr>
        <w:t>检验；多因素分析采用二元</w:t>
      </w:r>
      <w:r>
        <w:rPr>
          <w:rFonts w:ascii="Times New Roman" w:hAnsi="Times New Roman" w:eastAsia="宋体"/>
          <w:sz w:val="24"/>
          <w:szCs w:val="24"/>
        </w:rPr>
        <w:t>Logistic</w:t>
      </w:r>
      <w:r>
        <w:rPr>
          <w:rFonts w:ascii="Times New Roman" w:hAnsi="Times New Roman" w:eastAsia="宋体"/>
          <w:sz w:val="24"/>
          <w:szCs w:val="24"/>
        </w:rPr>
        <w:t xml:space="preserve">回归分析； </w:t>
      </w:r>
      <w:r>
        <w:rPr>
          <w:rFonts w:ascii="Times New Roman" w:hAnsi="Times New Roman" w:eastAsia="宋体"/>
          <w:sz w:val="24"/>
          <w:szCs w:val="24"/>
        </w:rPr>
        <w:t>P</w:t>
      </w:r>
      <w:r>
        <w:rPr>
          <w:rFonts w:ascii="Times New Roman" w:hAnsi="Times New Roman" w:eastAsia="宋体"/>
          <w:sz w:val="24"/>
          <w:szCs w:val="24"/>
        </w:rPr>
        <w:t>＜</w:t>
      </w:r>
      <w:r>
        <w:rPr>
          <w:rFonts w:ascii="Times New Roman" w:hAnsi="Times New Roman" w:eastAsia="宋体"/>
          <w:sz w:val="24"/>
          <w:szCs w:val="24"/>
        </w:rPr>
        <w:t>0.05</w:t>
      </w:r>
      <w:r>
        <w:rPr>
          <w:rFonts w:ascii="Times New Roman" w:hAnsi="Times New Roman" w:eastAsia="宋体"/>
          <w:sz w:val="24"/>
          <w:szCs w:val="24"/>
        </w:rPr>
        <w:t>表示差异有统计学意义。</w:t>
      </w:r>
    </w:p>
    <w:p>
      <w:pPr>
        <w:spacing w:line="360" w:lineRule="auto"/>
        <w:ind w:firstLineChars="200"/>
        <w:jc w:val="both"/>
        <w:numPr>
          <w:ilvl w:val="0"/>
          <w:numId w:val="0"/>
        </w:numPr>
        <w:outlineLvl w:val="2"/>
        <w:rPr>
          <w:rFonts w:ascii="宋体" w:hAnsi="宋体" w:eastAsia="宋体" w:cs="宋体"/>
          <w:b/>
          <w:sz w:val="28"/>
          <w:szCs w:val="28"/>
        </w:rPr>
      </w:pPr>
      <w:bookmarkStart w:name="__RefHeading___Toc224858185" w:id="16"/>
      <w:r>
        <w:rPr>
          <w:rFonts w:ascii="Times New Roman" w:hAnsi="Times New Roman" w:eastAsia="宋体"/>
          <w:sz w:val="24"/>
          <w:szCs w:val="24"/>
        </w:rPr>
        <w:t>2.1.6</w:t>
      </w:r>
      <w:r>
        <w:rPr>
          <w:rFonts w:ascii="Times New Roman" w:hAnsi="Times New Roman" w:eastAsia="宋体"/>
          <w:sz w:val="24"/>
          <w:szCs w:val="24"/>
        </w:rPr>
        <w:t>技术路线图</w:t>
      </w:r>
      <w:bookmarkEnd w:id="16"/>
      <w:r>
        <w:rPr>
          <w:rFonts w:ascii="Times New Roman" w:hAnsi="Times New Roman" w:eastAsia="宋体"/>
          <w:sz w:val="24"/>
          <w:szCs w:val="24"/>
        </w:rPr>
        <w:t xml:space="preserve"> </w:t>
      </w:r>
    </w:p>
    <w:p>
      <w:pPr>
        <w:spacing w:line="360" w:lineRule="auto"/>
        <w:ind w:firstLineChars="200"/>
        <w:jc w:val="both"/>
        <w:pStyle w:val="Normal"/>
        <w:rPr>
          <w:rFonts w:ascii="宋体;SimSun" w:hAnsi="宋体;SimSun" w:cs="宋体;SimSun"/>
          <w:caps/>
          <w:sz w:val="24"/>
        </w:rPr>
      </w:pPr>
      <w:r>
        <w:rPr>
          <w:rFonts w:ascii="Times New Roman" w:hAnsi="Times New Roman" w:eastAsia="宋体"/>
          <w:sz w:val="24"/>
          <w:szCs w:val="24"/>
          <w:caps/>
          <w:lang w:val="en-US" w:eastAsia="en-US"/>
        </w:rPr>
        <mc:AlternateContent xmlns="http://schemas.openxmlformats.org/markup-compatibility/2006" xmlns:wpg="http://schemas.microsoft.com/office/word/2010/wordprocessingGroup" xmlns:mc="http://schemas.openxmlformats.org/markup-compatibility/2006" xmlns:w="http://schemas.openxmlformats.org/wordprocessingml/2006/main" xmlns:wp="http://schemas.openxmlformats.org/drawingml/2006/wordprocessingDrawing" xmlns:wp14="http://schemas.microsoft.com/office/word/2010/wordprocessingDrawing" xmlns:a="http://schemas.openxmlformats.org/drawingml/2006/main" xmlns:wps="http://schemas.microsoft.com/office/word/2010/wordprocessingShape" xmlns:v="urn:schemas-microsoft-com:vml" xmlns:w14="http://schemas.microsoft.com/office/word/2010/wordml" xmlns:o="urn:schemas-microsoft-com:office:office" xmlns:w10="urn:schemas-microsoft-com:office:word" mc:Ignorable="wp14 w14 w10">
          <mc:Choice Requires="wpg">
            <w:drawing>
              <wp:inline xmlns="http://schemas.openxmlformats.org/drawingml/2006/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distT="0" distB="0" distL="0" distR="0">
                <wp:extent cx="6053455" cy="2715895"/>
                <wp:effectExtent l="0" t="0" r="0" b="0"/>
                <wp:docPr id="2" name=""/>
                <a:graphic xmlns:a="http://schemas.openxmlformats.org/drawingml/2006/main">
                  <a:graphicData uri="http://schemas.microsoft.com/office/word/2010/wordprocessingGroup">
                    <wpg:wgp xmlns:wpg="http://schemas.microsoft.com/office/word/2010/wordprocessingGroup" xmlns:a="http://schemas.openxmlformats.org/drawingml/2006/main" xmlns:wps="http://schemas.microsoft.com/office/word/2010/wordprocessingShape" xmlns:w="http://schemas.openxmlformats.org/wordprocessingml/2006/main">
                      <wpg:cNvGrpSpPr/>
                      <wpg:grpSpPr>
                        <a:xfrm>
                          <a:off x="0" y="0"/>
                          <a:ext cx="6053400" cy="2715840"/>
                          <a:chOff x="0" y="0"/>
                          <a:chExt cx="6053400" cy="2715840"/>
                        </a:xfrm>
                      </wpg:grpSpPr>
                      <wps:wsp>
                        <wps:cNvSpPr/>
                        <wps:nvSpPr>
                          <wps:cNvPr id="3" name=""/>
                          <wps:cNvSpPr/>
                        </wps:nvSpPr>
                        <wps:spPr>
                          <a:xfrm>
                            <a:off x="0" y="0"/>
                            <a:ext cx="6053400" cy="2715840"/>
                          </a:xfrm>
                          <a:prstGeom prst="rect">
                            <a:avLst/>
                          </a:prstGeom>
                          <a:noFill/>
                          <a:ln w="0">
                            <a:noFill/>
                          </a:ln>
                        </wps:spPr>
                        <wps:bodyPr/>
                      </wps:wsp>
                      <wps:wsp>
                        <wps:cNvSpPr txBox="1"/>
                        <wps:spPr>
                          <a:xfrm>
                            <a:off x="1142280" y="555480"/>
                            <a:ext cx="2257560" cy="287640"/>
                          </a:xfrm>
                          <a:prstGeom prst="rect">
                            <a:avLst/>
                          </a:prstGeom>
                          <a:solidFill>
                            <a:srgbClr val="ffffff"/>
                          </a:solidFill>
                          <a:ln w="9360">
                            <a:solidFill>
                              <a:srgbClr val="000000"/>
                            </a:solidFill>
                            <a:miter/>
                          </a:ln>
                        </wps:spPr>
                        <wps:txbx>
                          <w:txbxContent>
                            <w:p>
                              <w:pPr>
                                <w:spacing w:line="360" w:lineRule="auto"/>
                                <w:ind w:firstLineChars="200"/>
                                <w:jc w:val="both"/>
                                <w:overflowPunct w:val="false"/>
                                <w:bidi w:val="0"/>
                                <w:rPr>
                                  <w:rFonts w:ascii="Times New Roman" w:hAnsi="Times New Roman" w:eastAsia="宋体"/>
                                  <w:sz w:val="24"/>
                                  <w:szCs w:val="24"/>
                                </w:rPr>
                              </w:pPr>
                              <w:r>
                                <w:rPr>
                                  <w:rFonts w:ascii="Times New Roman" w:hAnsi="Times New Roman" w:eastAsia="宋体"/>
                                  <w:sz w:val="24"/>
                                  <w:szCs w:val="24"/>
                                  <w:kern w:val="2"/>
                                  <w:caps/>
                                  <w:color w:val="auto"/>
                                  <w:lang w:val="en-US" w:eastAsia="zh-CN" w:bidi="ar-SA"/>
                                </w:rPr>
                                <w:t>设计调查问卷，确定研究工具</w:t>
                              </w:r>
                            </w:p>
                            <w:p>
                              <w:pPr>
                                <w:spacing w:line="360" w:lineRule="auto"/>
                                <w:ind w:firstLineChars="0"/>
                                <w:jc w:val="center"/>
                              </w:pPr>
                              <w:r>
                                <w:rPr>
                                  <w:rFonts w:ascii="Times New Roman" w:hAnsi="Times New Roman" w:eastAsia="宋体"/>
                                  <w:sz w:val="21"/>
                                  <w:szCs w:val="21"/>
                                </w:rPr>
                                <w:t>图2.1 图示</w:t>
                              </w:r>
                            </w:p>
                          </w:txbxContent>
                        </wps:txbx>
                        <wps:bodyPr wrap="square" anchor="t">
                          <a:noAutofit/>
                        </wps:bodyPr>
                      </wps:wsp>
                      <wps:wsp>
                        <wps:cNvSpPr txBox="1"/>
                        <wps:spPr>
                          <a:xfrm>
                            <a:off x="1905120" y="1043280"/>
                            <a:ext cx="1339920" cy="269280"/>
                          </a:xfrm>
                          <a:prstGeom prst="rect">
                            <a:avLst/>
                          </a:prstGeom>
                          <a:solidFill>
                            <a:srgbClr val="ffffff"/>
                          </a:solidFill>
                          <a:ln w="9360">
                            <a:solidFill>
                              <a:srgbClr val="000000"/>
                            </a:solidFill>
                            <a:miter/>
                          </a:ln>
                        </wps:spPr>
                        <wps:txbx>
                          <w:txbxContent>
                            <w:p>
                              <w:pPr>
                                <w:spacing w:line="360" w:lineRule="auto"/>
                                <w:ind w:firstLineChars="200"/>
                                <w:jc w:val="both"/>
                                <w:overflowPunct w:val="false"/>
                                <w:bidi w:val="0"/>
                                <w:rPr/>
                              </w:pPr>
                              <w:r>
                                <w:rPr>
                                  <w:rFonts w:ascii="Times New Roman" w:hAnsi="Times New Roman" w:eastAsia="宋体"/>
                                  <w:sz w:val="24"/>
                                  <w:szCs w:val="24"/>
                                  <w:kern w:val="2"/>
                                  <w:color w:val="auto"/>
                                  <w:lang w:val="en-US" w:eastAsia="zh-CN" w:bidi="ar-SA"/>
                                </w:rPr>
                                <w:t>确定研究对象</w:t>
                              </w:r>
                            </w:p>
                          </w:txbxContent>
                        </wps:txbx>
                        <wps:bodyPr wrap="square" anchor="t">
                          <a:noAutofit/>
                        </wps:bodyPr>
                      </wps:wsp>
                      <wps:wsp>
                        <wps:cNvSpPr txBox="1"/>
                        <wps:spPr>
                          <a:xfrm>
                            <a:off x="1779840" y="65520"/>
                            <a:ext cx="1338480" cy="269280"/>
                          </a:xfrm>
                          <a:prstGeom prst="rect">
                            <a:avLst/>
                          </a:prstGeom>
                          <a:solidFill>
                            <a:srgbClr val="ffffff"/>
                          </a:solidFill>
                          <a:ln w="9360">
                            <a:solidFill>
                              <a:srgbClr val="000000"/>
                            </a:solidFill>
                            <a:miter/>
                          </a:ln>
                        </wps:spPr>
                        <wps:txbx>
                          <w:txbxContent>
                            <w:p>
                              <w:pPr>
                                <w:spacing w:line="360" w:lineRule="auto"/>
                                <w:ind w:firstLineChars="200"/>
                                <w:jc w:val="both"/>
                                <w:overflowPunct w:val="false"/>
                                <w:bidi w:val="0"/>
                                <w:rPr/>
                              </w:pPr>
                              <w:r>
                                <w:rPr>
                                  <w:rFonts w:ascii="Times New Roman" w:hAnsi="Times New Roman" w:eastAsia="宋体"/>
                                  <w:sz w:val="24"/>
                                  <w:szCs w:val="24"/>
                                  <w:kern w:val="2"/>
                                  <w:caps/>
                                  <w:color w:val="auto"/>
                                  <w:lang w:val="en-US" w:eastAsia="zh-CN" w:bidi="ar-SA"/>
                                </w:rPr>
                                <w:t>查阅文献，确定课题</w:t>
                              </w:r>
                            </w:p>
                          </w:txbxContent>
                        </wps:txbx>
                        <wps:bodyPr wrap="square" anchor="t">
                          <a:noAutofit/>
                        </wps:bodyPr>
                      </wps:wsp>
                      <wps:wsp>
                        <wps:cNvSpPr txBox="1"/>
                        <wps:spPr>
                          <a:xfrm>
                            <a:off x="1866960" y="1513080"/>
                            <a:ext cx="1338480" cy="266040"/>
                          </a:xfrm>
                          <a:prstGeom prst="rect">
                            <a:avLst/>
                          </a:prstGeom>
                          <a:solidFill>
                            <a:srgbClr val="ffffff"/>
                          </a:solidFill>
                          <a:ln w="9360">
                            <a:solidFill>
                              <a:srgbClr val="000000"/>
                            </a:solidFill>
                            <a:miter/>
                          </a:ln>
                        </wps:spPr>
                        <wps:txbx>
                          <w:txbxContent>
                            <w:p>
                              <w:pPr>
                                <w:spacing w:line="360" w:lineRule="auto"/>
                                <w:ind w:firstLineChars="200"/>
                                <w:jc w:val="both"/>
                                <w:overflowPunct w:val="false"/>
                                <w:bidi w:val="0"/>
                                <w:rPr/>
                              </w:pPr>
                              <w:r>
                                <w:rPr>
                                  <w:rFonts w:ascii="Times New Roman" w:hAnsi="Times New Roman" w:eastAsia="宋体"/>
                                  <w:sz w:val="24"/>
                                  <w:szCs w:val="24"/>
                                  <w:kern w:val="2"/>
                                  <w:color w:val="auto"/>
                                  <w:lang w:val="en-US" w:eastAsia="zh-CN" w:bidi="ar-SA"/>
                                </w:rPr>
                                <w:t>发放和回收问卷</w:t>
                              </w:r>
                            </w:p>
                          </w:txbxContent>
                        </wps:txbx>
                        <wps:bodyPr wrap="square" anchor="t">
                          <a:noAutofit/>
                        </wps:bodyPr>
                      </wps:wsp>
                      <wps:wsp>
                        <wps:cNvSpPr txBox="1"/>
                        <wps:spPr>
                          <a:xfrm>
                            <a:off x="1876320" y="1974960"/>
                            <a:ext cx="1338480" cy="272880"/>
                          </a:xfrm>
                          <a:prstGeom prst="rect">
                            <a:avLst/>
                          </a:prstGeom>
                          <a:solidFill>
                            <a:srgbClr val="ffffff"/>
                          </a:solidFill>
                          <a:ln w="9360">
                            <a:solidFill>
                              <a:srgbClr val="000000"/>
                            </a:solidFill>
                            <a:miter/>
                          </a:ln>
                        </wps:spPr>
                        <wps:txbx>
                          <w:txbxContent>
                            <w:p>
                              <w:pPr>
                                <w:spacing w:line="360" w:lineRule="auto"/>
                                <w:ind w:firstLineChars="200"/>
                                <w:jc w:val="both"/>
                                <w:overflowPunct w:val="false"/>
                                <w:bidi w:val="0"/>
                                <w:rPr/>
                              </w:pPr>
                              <w:r>
                                <w:rPr>
                                  <w:rFonts w:ascii="Times New Roman" w:hAnsi="Times New Roman" w:eastAsia="宋体"/>
                                  <w:sz w:val="24"/>
                                  <w:szCs w:val="24"/>
                                  <w:kern w:val="2"/>
                                  <w:color w:val="auto"/>
                                  <w:lang w:val="en-US" w:eastAsia="zh-CN" w:bidi="ar-SA"/>
                                </w:rPr>
                                <w:t>收集数据、建立数据库、spss数据分析</w:t>
                              </w:r>
                            </w:p>
                          </w:txbxContent>
                        </wps:txbx>
                        <wps:bodyPr wrap="square" anchor="t">
                          <a:noAutofit/>
                        </wps:bodyPr>
                      </wps:wsp>
                      <wps:wsp>
                        <wps:cNvSpPr txBox="1"/>
                        <wps:spPr>
                          <a:xfrm>
                            <a:off x="1851120" y="2448720"/>
                            <a:ext cx="1338120" cy="253440"/>
                          </a:xfrm>
                          <a:prstGeom prst="rect">
                            <a:avLst/>
                          </a:prstGeom>
                          <a:solidFill>
                            <a:srgbClr val="ffffff"/>
                          </a:solidFill>
                          <a:ln w="9360">
                            <a:solidFill>
                              <a:srgbClr val="000000"/>
                            </a:solidFill>
                            <a:miter/>
                          </a:ln>
                        </wps:spPr>
                        <wps:txbx>
                          <w:txbxContent>
                            <w:p>
                              <w:pPr>
                                <w:spacing w:line="360" w:lineRule="auto"/>
                                <w:ind w:firstLineChars="200"/>
                                <w:jc w:val="both"/>
                                <w:overflowPunct w:val="false"/>
                                <w:bidi w:val="0"/>
                                <w:rPr/>
                              </w:pPr>
                              <w:r>
                                <w:rPr>
                                  <w:rFonts w:ascii="Times New Roman" w:hAnsi="Times New Roman" w:eastAsia="宋体"/>
                                  <w:sz w:val="24"/>
                                  <w:szCs w:val="24"/>
                                  <w:kern w:val="2"/>
                                  <w:color w:val="auto"/>
                                  <w:lang w:val="en-US" w:eastAsia="zh-CN" w:bidi="ar-SA"/>
                                </w:rPr>
                                <w:t>结果讨论，论文撰写怕【</w:t>
                              </w:r>
                            </w:p>
                          </w:txbxContent>
                        </wps:txbx>
                        <wps:bodyPr wrap="square" anchor="t">
                          <a:noAutofit/>
                        </wps:bodyPr>
                      </wps:wsp>
                      <wps:wsp>
                        <wps:cNvSpPr txBox="1"/>
                        <wps:spPr>
                          <a:xfrm>
                            <a:off x="3980880" y="376560"/>
                            <a:ext cx="1338480" cy="276120"/>
                          </a:xfrm>
                          <a:prstGeom prst="rect">
                            <a:avLst/>
                          </a:prstGeom>
                          <a:solidFill>
                            <a:srgbClr val="ffffff"/>
                          </a:solidFill>
                          <a:ln w="9360">
                            <a:solidFill>
                              <a:srgbClr val="000000"/>
                            </a:solidFill>
                            <a:miter/>
                          </a:ln>
                        </wps:spPr>
                        <wps:txbx>
                          <w:txbxContent>
                            <w:p>
                              <w:pPr>
                                <w:spacing w:line="360" w:lineRule="auto"/>
                                <w:ind w:firstLineChars="200"/>
                                <w:jc w:val="both"/>
                                <w:overflowPunct w:val="false"/>
                                <w:bidi w:val="0"/>
                                <w:rPr/>
                              </w:pPr>
                              <w:r>
                                <w:rPr>
                                  <w:rFonts w:ascii="Times New Roman" w:hAnsi="Times New Roman" w:eastAsia="宋体"/>
                                  <w:sz w:val="24"/>
                                  <w:szCs w:val="24"/>
                                  <w:kern w:val="2"/>
                                  <w:color w:val="auto"/>
                                  <w:lang w:val="en-US" w:eastAsia="zh-CN" w:bidi="ar-SA"/>
                                </w:rPr>
                                <w:t>一般资料调查表</w:t>
                              </w:r>
                            </w:p>
                          </w:txbxContent>
                        </wps:txbx>
                        <wps:bodyPr wrap="square" anchor="t">
                          <a:noAutofit/>
                        </wps:bodyPr>
                      </wps:wsp>
                      <wps:wsp>
                        <wps:cNvSpPr txBox="1"/>
                        <wps:spPr>
                          <a:xfrm>
                            <a:off x="63360" y="988200"/>
                            <a:ext cx="905040" cy="313560"/>
                          </a:xfrm>
                          <a:prstGeom prst="rect">
                            <a:avLst/>
                          </a:prstGeom>
                          <a:solidFill>
                            <a:srgbClr val="ffffff"/>
                          </a:solidFill>
                          <a:ln w="9360">
                            <a:solidFill>
                              <a:srgbClr val="000000"/>
                            </a:solidFill>
                            <a:miter/>
                          </a:ln>
                        </wps:spPr>
                        <wps:txbx>
                          <w:txbxContent>
                            <w:p>
                              <w:pPr>
                                <w:spacing w:line="360" w:lineRule="auto"/>
                                <w:ind w:firstLineChars="200"/>
                                <w:jc w:val="both"/>
                                <w:overflowPunct w:val="false"/>
                                <w:bidi w:val="0"/>
                                <w:rPr/>
                              </w:pPr>
                              <w:r>
                                <w:rPr>
                                  <w:rFonts w:ascii="Times New Roman" w:hAnsi="Times New Roman" w:eastAsia="宋体"/>
                                  <w:sz w:val="24"/>
                                  <w:szCs w:val="24"/>
                                  <w:kern w:val="2"/>
                                  <w:color w:val="auto"/>
                                  <w:lang w:val="en-US" w:eastAsia="zh-CN" w:bidi="ar-SA"/>
                                </w:rPr>
                                <w:t>排纳标准</w:t>
                              </w:r>
                            </w:p>
                          </w:txbxContent>
                        </wps:txbx>
                        <wps:bodyPr wrap="square" anchor="t">
                          <a:noAutofit/>
                        </wps:bodyPr>
                      </wps:wsp>
                      <wps:wsp>
                        <wps:cNvSpPr txBox="1"/>
                        <wps:spPr>
                          <a:xfrm>
                            <a:off x="3989160" y="923760"/>
                            <a:ext cx="1339200" cy="329040"/>
                          </a:xfrm>
                          <a:prstGeom prst="rect">
                            <a:avLst/>
                          </a:prstGeom>
                          <a:solidFill>
                            <a:srgbClr val="ffffff"/>
                          </a:solidFill>
                          <a:ln w="9360">
                            <a:solidFill>
                              <a:srgbClr val="000000"/>
                            </a:solidFill>
                            <a:miter/>
                          </a:ln>
                        </wps:spPr>
                        <wps:txbx>
                          <w:txbxContent>
                            <w:p>
                              <w:pPr>
                                <w:spacing w:line="360" w:lineRule="auto"/>
                                <w:ind w:firstLineChars="200"/>
                                <w:jc w:val="both"/>
                                <w:overflowPunct w:val="false"/>
                                <w:bidi w:val="0"/>
                                <w:rPr/>
                              </w:pPr>
                              <w:r>
                                <w:rPr>
                                  <w:rFonts w:ascii="Times New Roman" w:hAnsi="Times New Roman" w:eastAsia="宋体"/>
                                  <w:sz w:val="24"/>
                                  <w:szCs w:val="24"/>
                                  <w:kern w:val="2"/>
                                  <w:color w:val="auto"/>
                                  <w:lang w:val="en-US" w:eastAsia="zh-CN" w:bidi="ar-SA"/>
                                </w:rPr>
                                <w:t>糖尿病知识测试量表</w:t>
                              </w:r>
                            </w:p>
                          </w:txbxContent>
                        </wps:txbx>
                        <wps:bodyPr wrap="square" anchor="t">
                          <a:noAutofit/>
                        </wps:bodyPr>
                      </wps:wsp>
                      <wps:wsp>
                        <wps:cNvSpPr txBox="1"/>
                        <wps:spPr>
                          <a:xfrm>
                            <a:off x="3989160" y="1607760"/>
                            <a:ext cx="1434600" cy="934200"/>
                          </a:xfrm>
                          <a:prstGeom prst="rect">
                            <a:avLst/>
                          </a:prstGeom>
                          <a:solidFill>
                            <a:srgbClr val="ffffff"/>
                          </a:solidFill>
                          <a:ln w="9360">
                            <a:solidFill>
                              <a:srgbClr val="000000"/>
                            </a:solidFill>
                            <a:miter/>
                          </a:ln>
                        </wps:spPr>
                        <wps:txbx>
                          <w:txbxContent>
                            <w:p>
                              <w:pPr>
                                <w:spacing w:line="360" w:lineRule="auto"/>
                                <w:ind w:firstLineChars="200"/>
                                <w:jc w:val="both"/>
                                <w:overflowPunct w:val="false"/>
                                <w:bidi w:val="0"/>
                                <w:rPr/>
                              </w:pPr>
                              <w:r>
                                <w:rPr>
                                  <w:rFonts w:ascii="Times New Roman" w:hAnsi="Times New Roman" w:eastAsia="宋体"/>
                                  <w:sz w:val="24"/>
                                  <w:szCs w:val="24"/>
                                  <w:kern w:val="2"/>
                                  <w:color w:val="auto"/>
                                  <w:lang w:val="en-US" w:eastAsia="zh-CN" w:bidi="ar-SA"/>
                                </w:rPr>
                                <w:t>质量控制：选取信效度良好的问卷进行调查；采用标准化流程收集问卷，核查数据</w:t>
                              </w:r>
                              <w:r>
                                <w:rPr>
                                  <w:rFonts w:ascii="Times New Roman" w:hAnsi="Times New Roman" w:eastAsia="宋体"/>
                                  <w:sz w:val="24"/>
                                  <w:szCs w:val="24"/>
                                  <w:kern w:val="2"/>
                                  <w:color w:val="auto"/>
                                  <w:lang w:val="en-US" w:eastAsia="zh-CN" w:bidi="ar-SA"/>
                                </w:rPr>
                                <w:t>有效性，剔除无效样本</w:t>
                              </w:r>
                            </w:p>
                            <w:p>
                              <w:pPr>
                                <w:overflowPunct w:val="false"/>
                                <w:bidi w:val="0"/>
                                <w:jc w:val="both"/>
                                <w:rPr/>
                              </w:pPr>
                              <w:r>
                                <w:rPr>
                                  <w:sz w:val="24"/>
                                  <w:rFonts w:ascii="Liberation Serif" w:hAnsi="Liberation Serif" w:eastAsia="DejaVu Sans" w:cs="DejaVu Sans"/>
                                  <w:lang w:bidi="hi-IN"/>
                                </w:rPr>
                              </w:r>
                            </w:p>
                          </w:txbxContent>
                        </wps:txbx>
                        <wps:bodyPr wrap="square" anchor="t">
                          <a:noAutofit/>
                        </wps:bodyPr>
                      </wps:wsp>
                      <wps:wsp>
                        <wps:cNvCnPr/>
                        <wps:spPr>
                          <a:xfrm flipH="1">
                            <a:off x="1070640" y="1172160"/>
                            <a:ext cx="755280" cy="1800"/>
                          </a:xfrm>
                          <a:prstGeom prst="straightConnector1">
                            <a:avLst/>
                          </a:prstGeom>
                          <a:ln w="9360">
                            <a:solidFill>
                              <a:srgbClr val="000000"/>
                            </a:solidFill>
                            <a:miter/>
                            <a:tailEnd len="med" type="triangle" w="med"/>
                          </a:ln>
                        </wps:spPr>
                        <wps:bodyPr/>
                      </wps:wsp>
                      <wps:wsp>
                        <wps:cNvCnPr/>
                        <wps:spPr>
                          <a:xfrm flipV="1">
                            <a:off x="3446280" y="514440"/>
                            <a:ext cx="535680" cy="173160"/>
                          </a:xfrm>
                          <a:prstGeom prst="straightConnector1">
                            <a:avLst/>
                          </a:prstGeom>
                          <a:ln w="9360">
                            <a:solidFill>
                              <a:srgbClr val="000000"/>
                            </a:solidFill>
                            <a:miter/>
                            <a:tailEnd len="med" type="triangle" w="med"/>
                          </a:ln>
                        </wps:spPr>
                        <wps:bodyPr/>
                      </wps:wsp>
                      <wps:wsp>
                        <wps:cNvCnPr/>
                        <wps:spPr>
                          <a:xfrm>
                            <a:off x="3458880" y="723960"/>
                            <a:ext cx="469080" cy="386280"/>
                          </a:xfrm>
                          <a:prstGeom prst="straightConnector1">
                            <a:avLst/>
                          </a:prstGeom>
                          <a:ln w="9360">
                            <a:solidFill>
                              <a:srgbClr val="000000"/>
                            </a:solidFill>
                            <a:miter/>
                            <a:tailEnd len="med" type="triangle" w="med"/>
                          </a:ln>
                        </wps:spPr>
                        <wps:bodyPr/>
                      </wps:wsp>
                      <wps:wsp>
                        <wps:cNvCnPr/>
                        <wps:spPr>
                          <a:xfrm>
                            <a:off x="3250440" y="1656720"/>
                            <a:ext cx="677520" cy="7920"/>
                          </a:xfrm>
                          <a:prstGeom prst="straightConnector1">
                            <a:avLst/>
                          </a:prstGeom>
                          <a:ln w="9360">
                            <a:solidFill>
                              <a:srgbClr val="000000"/>
                            </a:solidFill>
                            <a:miter/>
                            <a:tailEnd len="med" type="triangle" w="med"/>
                          </a:ln>
                        </wps:spPr>
                        <wps:bodyPr/>
                      </wps:wsp>
                      <wps:wsp>
                        <wps:cNvCnPr/>
                        <wps:spPr>
                          <a:xfrm>
                            <a:off x="2448720" y="334080"/>
                            <a:ext cx="1440" cy="181800"/>
                          </a:xfrm>
                          <a:prstGeom prst="straightConnector1">
                            <a:avLst/>
                          </a:prstGeom>
                          <a:ln w="9360">
                            <a:solidFill>
                              <a:srgbClr val="000000"/>
                            </a:solidFill>
                            <a:miter/>
                            <a:tailEnd len="med" type="triangle" w="med"/>
                          </a:ln>
                        </wps:spPr>
                        <wps:bodyPr/>
                      </wps:wsp>
                      <wps:wsp>
                        <wps:cNvCnPr/>
                        <wps:spPr>
                          <a:xfrm>
                            <a:off x="2522880" y="1286640"/>
                            <a:ext cx="1440" cy="188280"/>
                          </a:xfrm>
                          <a:prstGeom prst="straightConnector1">
                            <a:avLst/>
                          </a:prstGeom>
                          <a:ln w="9360">
                            <a:solidFill>
                              <a:srgbClr val="000000"/>
                            </a:solidFill>
                            <a:miter/>
                            <a:tailEnd len="med" type="triangle" w="med"/>
                          </a:ln>
                        </wps:spPr>
                        <wps:bodyPr/>
                      </wps:wsp>
                      <wps:wsp>
                        <wps:cNvCnPr/>
                        <wps:spPr>
                          <a:xfrm>
                            <a:off x="2513160" y="1822320"/>
                            <a:ext cx="11160" cy="166320"/>
                          </a:xfrm>
                          <a:prstGeom prst="straightConnector1">
                            <a:avLst/>
                          </a:prstGeom>
                          <a:ln w="9360">
                            <a:solidFill>
                              <a:srgbClr val="000000"/>
                            </a:solidFill>
                            <a:miter/>
                            <a:tailEnd len="med" type="triangle" w="med"/>
                          </a:ln>
                        </wps:spPr>
                        <wps:bodyPr/>
                      </wps:wsp>
                      <wps:wsp>
                        <wps:cNvCnPr/>
                        <wps:spPr>
                          <a:xfrm flipH="1">
                            <a:off x="2512080" y="2270160"/>
                            <a:ext cx="1440" cy="158400"/>
                          </a:xfrm>
                          <a:prstGeom prst="straightConnector1">
                            <a:avLst/>
                          </a:prstGeom>
                          <a:ln w="9360">
                            <a:solidFill>
                              <a:srgbClr val="000000"/>
                            </a:solidFill>
                            <a:miter/>
                            <a:tailEnd len="med" type="triangle" w="med"/>
                          </a:ln>
                        </wps:spPr>
                        <wps:bodyPr/>
                      </wps:wsp>
                      <wps:wsp>
                        <wps:cNvCnPr/>
                        <wps:spPr>
                          <a:xfrm>
                            <a:off x="2470680" y="876960"/>
                            <a:ext cx="1800" cy="133560"/>
                          </a:xfrm>
                          <a:prstGeom prst="straightConnector1">
                            <a:avLst/>
                          </a:prstGeom>
                          <a:ln w="9360">
                            <a:solidFill>
                              <a:srgbClr val="000000"/>
                            </a:solidFill>
                            <a:miter/>
                            <a:tailEnd len="med" type="triangle" w="med"/>
                          </a:ln>
                        </wps:spPr>
                        <wps:bodyPr/>
                      </wps:wsp>
                    </wpg:wgp>
                  </a:graphicData>
                </a:graphic>
              </wp:inline>
            </w:drawing>
          </mc:Choice>
          <mc:Fallback xmlns:mc="http://schemas.openxmlformats.org/markup-compatibility/2006" xmlns:w="http://schemas.openxmlformats.org/wordprocessingml/2006/main" xmlns:v="urn:schemas-microsoft-com:vml" xmlns:o="urn:schemas-microsoft-com:office:office" xmlns:w10="urn:schemas-microsoft-com:office:word" xmlns="" mc:Ignorable="w10">
            <w:pict>
              <v:group id="shape_0" style="position:absolute;margin-left:0pt;margin-top:0pt;width:476.65pt;height:213.85pt" coordorigin="0,0" coordsize="9533,4277">
                <v:rect id="shape_0" stroked="f" o:allowincell="f" style="position:absolute;left:0;top:0;width:9532;height:4276;mso-wrap-style:none;v-text-anchor:middle;mso-position-horizontal:center">
                  <v:fill o:detectmouseclick="t" on="false"/>
                  <v:stroke color="#3465a4" joinstyle="round" endcap="flat"/>
                  <w10:wrap type="square"/>
                </v:rect>
                <v:shapetype id="_x0000_t202" coordsize="21600,21600" o:spt="202" path="m,l,21600l21600,21600l21600,xe">
                  <v:stroke joinstyle="miter"/>
                  <v:path gradientshapeok="t" o:connecttype="rect"/>
                </v:shapetype>
                <v:shape id="shape_0" fillcolor="white" stroked="t" o:allowincell="f" style="position:absolute;left:1799;top:875;width:3554;height:452;mso-wrap-style:square;v-text-anchor:top;mso-position-horizontal:center" type="_x0000_t202">
                  <v:textbox>
                    <w:txbxContent>
                      <w:p>
                        <w:pPr>
                          <w:spacing w:line="360" w:lineRule="auto"/>
                          <w:ind w:firstLineChars="200"/>
                          <w:jc w:val="both"/>
                          <w:overflowPunct w:val="false"/>
                          <w:bidi w:val="0"/>
                          <w:rPr/>
                        </w:pPr>
                        <w:r>
                          <w:rPr>
                            <w:rFonts w:ascii="Times New Roman" w:hAnsi="Times New Roman" w:eastAsia="宋体"/>
                            <w:sz w:val="24"/>
                            <w:szCs w:val="24"/>
                            <w:kern w:val="2"/>
                            <w:caps/>
                            <w:color w:val="auto"/>
                            <w:lang w:val="en-US" w:eastAsia="zh-CN" w:bidi="ar-SA"/>
                          </w:rPr>
                          <w:t>设计调查问卷，确定研究工具</w:t>
                        </w:r>
                      </w:p>
                    </w:txbxContent>
                  </v:textbox>
                  <v:fill o:detectmouseclick="t" type="solid" color2="black"/>
                  <v:stroke color="black" weight="9360" joinstyle="miter" endcap="flat"/>
                  <w10:wrap type="square"/>
                </v:shape>
                <v:shape id="shape_0" fillcolor="white" stroked="t" o:allowincell="f" style="position:absolute;left:3000;top:1643;width:2109;height:423;mso-wrap-style:square;v-text-anchor:top;mso-position-horizontal:center" type="_x0000_t202">
                  <v:textbox>
                    <w:txbxContent>
                      <w:p>
                        <w:pPr>
                          <w:spacing w:line="360" w:lineRule="auto"/>
                          <w:ind w:firstLineChars="200"/>
                          <w:jc w:val="both"/>
                          <w:overflowPunct w:val="false"/>
                          <w:bidi w:val="0"/>
                          <w:rPr/>
                        </w:pPr>
                        <w:r>
                          <w:rPr>
                            <w:rFonts w:ascii="Times New Roman" w:hAnsi="Times New Roman" w:eastAsia="宋体"/>
                            <w:sz w:val="24"/>
                            <w:szCs w:val="24"/>
                            <w:kern w:val="2"/>
                            <w:color w:val="auto"/>
                            <w:lang w:val="en-US" w:eastAsia="zh-CN" w:bidi="ar-SA"/>
                          </w:rPr>
                          <w:t>确定研究对象</w:t>
                        </w:r>
                      </w:p>
                    </w:txbxContent>
                  </v:textbox>
                  <v:fill o:detectmouseclick="t" type="solid" color2="black"/>
                  <v:stroke color="black" weight="9360" joinstyle="miter" endcap="flat"/>
                  <w10:wrap type="square"/>
                </v:shape>
                <v:shape id="shape_0" fillcolor="white" stroked="t" o:allowincell="f" style="position:absolute;left:2803;top:103;width:2107;height:423;mso-wrap-style:square;v-text-anchor:top;mso-position-horizontal:center" type="_x0000_t202">
                  <v:textbox>
                    <w:txbxContent>
                      <w:p>
                        <w:pPr>
                          <w:spacing w:line="360" w:lineRule="auto"/>
                          <w:ind w:firstLineChars="200"/>
                          <w:jc w:val="both"/>
                          <w:overflowPunct w:val="false"/>
                          <w:bidi w:val="0"/>
                          <w:rPr/>
                        </w:pPr>
                        <w:r>
                          <w:rPr>
                            <w:rFonts w:ascii="Times New Roman" w:hAnsi="Times New Roman" w:eastAsia="宋体"/>
                            <w:sz w:val="24"/>
                            <w:szCs w:val="24"/>
                            <w:kern w:val="2"/>
                            <w:caps/>
                            <w:color w:val="auto"/>
                            <w:lang w:val="en-US" w:eastAsia="zh-CN" w:bidi="ar-SA"/>
                          </w:rPr>
                          <w:t>查阅文献，确定课题</w:t>
                        </w:r>
                      </w:p>
                    </w:txbxContent>
                  </v:textbox>
                  <v:fill o:detectmouseclick="t" type="solid" color2="black"/>
                  <v:stroke color="black" weight="9360" joinstyle="miter" endcap="flat"/>
                  <w10:wrap type="square"/>
                </v:shape>
                <v:shape id="shape_0" fillcolor="white" stroked="t" o:allowincell="f" style="position:absolute;left:2940;top:2383;width:2107;height:418;mso-wrap-style:square;v-text-anchor:top;mso-position-horizontal:center" type="_x0000_t202">
                  <v:textbox>
                    <w:txbxContent>
                      <w:p>
                        <w:pPr>
                          <w:spacing w:line="360" w:lineRule="auto"/>
                          <w:ind w:firstLineChars="200"/>
                          <w:jc w:val="both"/>
                          <w:overflowPunct w:val="false"/>
                          <w:bidi w:val="0"/>
                          <w:rPr/>
                        </w:pPr>
                        <w:r>
                          <w:rPr>
                            <w:rFonts w:ascii="Times New Roman" w:hAnsi="Times New Roman" w:eastAsia="宋体"/>
                            <w:sz w:val="24"/>
                            <w:szCs w:val="24"/>
                            <w:kern w:val="2"/>
                            <w:color w:val="auto"/>
                            <w:lang w:val="en-US" w:eastAsia="zh-CN" w:bidi="ar-SA"/>
                          </w:rPr>
                          <w:t>发放和回收问卷</w:t>
                        </w:r>
                      </w:p>
                    </w:txbxContent>
                  </v:textbox>
                  <v:fill o:detectmouseclick="t" type="solid" color2="black"/>
                  <v:stroke color="black" weight="9360" joinstyle="miter" endcap="flat"/>
                  <w10:wrap type="square"/>
                </v:shape>
                <v:shape id="shape_0" fillcolor="white" stroked="t" o:allowincell="f" style="position:absolute;left:2955;top:3110;width:2107;height:429;mso-wrap-style:square;v-text-anchor:top;mso-position-horizontal:center" type="_x0000_t202">
                  <v:textbox>
                    <w:txbxContent>
                      <w:p>
                        <w:pPr>
                          <w:spacing w:line="360" w:lineRule="auto"/>
                          <w:ind w:firstLineChars="200"/>
                          <w:jc w:val="both"/>
                          <w:overflowPunct w:val="false"/>
                          <w:bidi w:val="0"/>
                          <w:rPr/>
                        </w:pPr>
                        <w:r>
                          <w:rPr>
                            <w:rFonts w:ascii="Times New Roman" w:hAnsi="Times New Roman" w:eastAsia="宋体"/>
                            <w:sz w:val="24"/>
                            <w:szCs w:val="24"/>
                            <w:kern w:val="2"/>
                            <w:color w:val="auto"/>
                            <w:lang w:val="en-US" w:eastAsia="zh-CN" w:bidi="ar-SA"/>
                          </w:rPr>
                          <w:t>收集数据、建立数据库、spss数据分析</w:t>
                        </w:r>
                      </w:p>
                    </w:txbxContent>
                  </v:textbox>
                  <v:fill o:detectmouseclick="t" type="solid" color2="black"/>
                  <v:stroke color="black" weight="9360" joinstyle="miter" endcap="flat"/>
                  <w10:wrap type="square"/>
                </v:shape>
                <v:shape id="shape_0" fillcolor="white" stroked="t" o:allowincell="f" style="position:absolute;left:2915;top:3856;width:2106;height:398;mso-wrap-style:square;v-text-anchor:top;mso-position-horizontal:center" type="_x0000_t202">
                  <v:textbox>
                    <w:txbxContent>
                      <w:p>
                        <w:pPr>
                          <w:spacing w:line="360" w:lineRule="auto"/>
                          <w:ind w:firstLineChars="200"/>
                          <w:jc w:val="both"/>
                          <w:overflowPunct w:val="false"/>
                          <w:bidi w:val="0"/>
                          <w:rPr/>
                        </w:pPr>
                        <w:r>
                          <w:rPr>
                            <w:rFonts w:ascii="Times New Roman" w:hAnsi="Times New Roman" w:eastAsia="宋体"/>
                            <w:sz w:val="24"/>
                            <w:szCs w:val="24"/>
                            <w:kern w:val="2"/>
                            <w:color w:val="auto"/>
                            <w:lang w:val="en-US" w:eastAsia="zh-CN" w:bidi="ar-SA"/>
                          </w:rPr>
                          <w:t>结果讨论，论文撰写怕【</w:t>
                        </w:r>
                      </w:p>
                    </w:txbxContent>
                  </v:textbox>
                  <v:fill o:detectmouseclick="t" type="solid" color2="black"/>
                  <v:stroke color="black" weight="9360" joinstyle="miter" endcap="flat"/>
                  <w10:wrap type="square"/>
                </v:shape>
                <v:shape id="shape_0" fillcolor="white" stroked="t" o:allowincell="f" style="position:absolute;left:6269;top:593;width:2107;height:434;mso-wrap-style:square;v-text-anchor:top;mso-position-horizontal:center" type="_x0000_t202">
                  <v:textbox>
                    <w:txbxContent>
                      <w:p>
                        <w:pPr>
                          <w:spacing w:line="360" w:lineRule="auto"/>
                          <w:ind w:firstLineChars="200"/>
                          <w:jc w:val="both"/>
                          <w:overflowPunct w:val="false"/>
                          <w:bidi w:val="0"/>
                          <w:rPr/>
                        </w:pPr>
                        <w:r>
                          <w:rPr>
                            <w:rFonts w:ascii="Times New Roman" w:hAnsi="Times New Roman" w:eastAsia="宋体"/>
                            <w:sz w:val="24"/>
                            <w:szCs w:val="24"/>
                            <w:kern w:val="2"/>
                            <w:color w:val="auto"/>
                            <w:lang w:val="en-US" w:eastAsia="zh-CN" w:bidi="ar-SA"/>
                          </w:rPr>
                          <w:t>一般资料调查表</w:t>
                        </w:r>
                      </w:p>
                    </w:txbxContent>
                  </v:textbox>
                  <v:fill o:detectmouseclick="t" type="solid" color2="black"/>
                  <v:stroke color="black" weight="9360" joinstyle="miter" endcap="flat"/>
                  <w10:wrap type="square"/>
                </v:shape>
                <v:shape id="shape_0" fillcolor="white" stroked="t" o:allowincell="f" style="position:absolute;left:100;top:1556;width:1424;height:493;mso-wrap-style:square;v-text-anchor:top;mso-position-horizontal:center" type="_x0000_t202">
                  <v:textbox>
                    <w:txbxContent>
                      <w:p>
                        <w:pPr>
                          <w:spacing w:line="360" w:lineRule="auto"/>
                          <w:ind w:firstLineChars="200"/>
                          <w:jc w:val="both"/>
                          <w:overflowPunct w:val="false"/>
                          <w:bidi w:val="0"/>
                          <w:rPr/>
                        </w:pPr>
                        <w:r>
                          <w:rPr>
                            <w:rFonts w:ascii="Times New Roman" w:hAnsi="Times New Roman" w:eastAsia="宋体"/>
                            <w:sz w:val="24"/>
                            <w:szCs w:val="24"/>
                            <w:kern w:val="2"/>
                            <w:color w:val="auto"/>
                            <w:lang w:val="en-US" w:eastAsia="zh-CN" w:bidi="ar-SA"/>
                          </w:rPr>
                          <w:t>排纳标准</w:t>
                        </w:r>
                      </w:p>
                    </w:txbxContent>
                  </v:textbox>
                  <v:fill o:detectmouseclick="t" type="solid" color2="black"/>
                  <v:stroke color="black" weight="9360" joinstyle="miter" endcap="flat"/>
                  <w10:wrap type="square"/>
                </v:shape>
                <v:shape id="shape_0" fillcolor="white" stroked="t" o:allowincell="f" style="position:absolute;left:6282;top:1455;width:2108;height:517;mso-wrap-style:square;v-text-anchor:top;mso-position-horizontal:center" type="_x0000_t202">
                  <v:textbox>
                    <w:txbxContent>
                      <w:p>
                        <w:pPr>
                          <w:spacing w:line="360" w:lineRule="auto"/>
                          <w:ind w:firstLineChars="200"/>
                          <w:jc w:val="both"/>
                          <w:overflowPunct w:val="false"/>
                          <w:bidi w:val="0"/>
                          <w:rPr/>
                        </w:pPr>
                        <w:r>
                          <w:rPr>
                            <w:rFonts w:ascii="Times New Roman" w:hAnsi="Times New Roman" w:eastAsia="宋体"/>
                            <w:sz w:val="24"/>
                            <w:szCs w:val="24"/>
                            <w:kern w:val="2"/>
                            <w:color w:val="auto"/>
                            <w:lang w:val="en-US" w:eastAsia="zh-CN" w:bidi="ar-SA"/>
                          </w:rPr>
                          <w:t>糖尿病知识测试量表</w:t>
                        </w:r>
                      </w:p>
                    </w:txbxContent>
                  </v:textbox>
                  <v:fill o:detectmouseclick="t" type="solid" color2="black"/>
                  <v:stroke color="black" weight="9360" joinstyle="miter" endcap="flat"/>
                  <w10:wrap type="square"/>
                </v:shape>
                <v:shape id="shape_0" fillcolor="white" stroked="t" o:allowincell="f" style="position:absolute;left:6282;top:2532;width:2258;height:1470;mso-wrap-style:square;v-text-anchor:top;mso-position-horizontal:center" type="_x0000_t202">
                  <v:textbox>
                    <w:txbxContent>
                      <w:p>
                        <w:pPr>
                          <w:spacing w:line="360" w:lineRule="auto"/>
                          <w:ind w:firstLineChars="200"/>
                          <w:jc w:val="both"/>
                          <w:overflowPunct w:val="false"/>
                          <w:bidi w:val="0"/>
                          <w:rPr/>
                        </w:pPr>
                        <w:r>
                          <w:rPr>
                            <w:rFonts w:ascii="Times New Roman" w:hAnsi="Times New Roman" w:eastAsia="宋体"/>
                            <w:sz w:val="24"/>
                            <w:szCs w:val="24"/>
                            <w:kern w:val="2"/>
                            <w:color w:val="auto"/>
                            <w:lang w:val="en-US" w:eastAsia="zh-CN" w:bidi="ar-SA"/>
                          </w:rPr>
                          <w:t>质量控制：选取信效度良好的问卷进行调查；采用标准化流程收集问卷，核查数据</w:t>
                        </w:r>
                        <w:r>
                          <w:rPr>
                            <w:rFonts w:ascii="Times New Roman" w:hAnsi="Times New Roman" w:eastAsia="宋体"/>
                            <w:sz w:val="24"/>
                            <w:szCs w:val="24"/>
                            <w:kern w:val="2"/>
                            <w:color w:val="auto"/>
                            <w:lang w:val="en-US" w:eastAsia="zh-CN" w:bidi="ar-SA"/>
                          </w:rPr>
                          <w:t>有效性，剔除无效样本</w:t>
                        </w:r>
                      </w:p>
                      <w:p>
                        <w:pPr>
                          <w:overflowPunct w:val="false"/>
                          <w:bidi w:val="0"/>
                          <w:jc w:val="both"/>
                          <w:rPr/>
                        </w:pPr>
                        <w:r>
                          <w:rPr>
                            <w:sz w:val="24"/>
                            <w:rFonts w:ascii="Liberation Serif" w:hAnsi="Liberation Serif" w:eastAsia="DejaVu Sans" w:cs="DejaVu Sans"/>
                            <w:lang w:bidi="hi-IN"/>
                          </w:rPr>
                        </w:r>
                      </w:p>
                    </w:txbxContent>
                  </v:textbox>
                  <v:fill o:detectmouseclick="t" type="solid" color2="black"/>
                  <v:stroke color="black" weight="9360" joinstyle="miter" endcap="flat"/>
                  <w10:wrap type="square"/>
                </v:shape>
                <v:shapetype id="_x0000_t32" coordsize="21600,21600" o:spt="32" path="m,l21600,21600nfe">
                  <v:stroke joinstyle="miter"/>
                  <v:path gradientshapeok="t" o:connecttype="rect" textboxrect="0,0,21600,21600"/>
                </v:shapetype>
                <v:shape id="shape_0" stroked="t" o:allowincell="f" style="position:absolute;left:1686;top:1846;width:1187;height:2;flip:x;mso-position-horizontal:center" type="_x0000_t32">
                  <v:stroke color="black" weight="9360" endarrow="block" endarrowwidth="medium" endarrowlength="medium" joinstyle="miter" endcap="flat"/>
                  <v:fill o:detectmouseclick="t" on="false"/>
                  <w10:wrap type="square"/>
                </v:shape>
                <v:shape id="shape_0" stroked="t" o:allowincell="f" style="position:absolute;left:5427;top:810;width:843;height:271;flip:y;mso-position-horizontal:center" type="_x0000_t32">
                  <v:stroke color="black" weight="9360" endarrow="block" endarrowwidth="medium" endarrowlength="medium" joinstyle="miter" endcap="flat"/>
                  <v:fill o:detectmouseclick="t" on="false"/>
                  <w10:wrap type="square"/>
                </v:shape>
                <v:shape id="shape_0" stroked="t" o:allowincell="f" style="position:absolute;left:5447;top:1140;width:738;height:607;mso-position-horizontal:center" type="_x0000_t32">
                  <v:stroke color="black" weight="9360" endarrow="block" endarrowwidth="medium" endarrowlength="medium" joinstyle="miter" endcap="flat"/>
                  <v:fill o:detectmouseclick="t" on="false"/>
                  <w10:wrap type="square"/>
                </v:shape>
                <v:shape id="shape_0" stroked="t" o:allowincell="f" style="position:absolute;left:5119;top:2609;width:1066;height:11;mso-position-horizontal:center" type="_x0000_t32">
                  <v:stroke color="black" weight="9360" endarrow="block" endarrowwidth="medium" endarrowlength="medium" joinstyle="miter" endcap="flat"/>
                  <v:fill o:detectmouseclick="t" on="false"/>
                  <w10:wrap type="square"/>
                </v:shape>
                <v:shape id="shape_0" stroked="t" o:allowincell="f" style="position:absolute;left:3856;top:526;width:1;height:285;mso-position-horizontal:center" type="_x0000_t32">
                  <v:stroke color="black" weight="9360" endarrow="block" endarrowwidth="medium" endarrowlength="medium" joinstyle="miter" endcap="flat"/>
                  <v:fill o:detectmouseclick="t" on="false"/>
                  <w10:wrap type="square"/>
                </v:shape>
                <v:shape id="shape_0" stroked="t" o:allowincell="f" style="position:absolute;left:3973;top:2026;width:1;height:296;mso-position-horizontal:center" type="_x0000_t32">
                  <v:stroke color="black" weight="9360" endarrow="block" endarrowwidth="medium" endarrowlength="medium" joinstyle="miter" endcap="flat"/>
                  <v:fill o:detectmouseclick="t" on="false"/>
                  <w10:wrap type="square"/>
                </v:shape>
                <v:shape id="shape_0" stroked="t" o:allowincell="f" style="position:absolute;left:3958;top:2870;width:17;height:261;mso-position-horizontal:center" type="_x0000_t32">
                  <v:stroke color="black" weight="9360" endarrow="block" endarrowwidth="medium" endarrowlength="medium" joinstyle="miter" endcap="flat"/>
                  <v:fill o:detectmouseclick="t" on="false"/>
                  <w10:wrap type="square"/>
                </v:shape>
                <v:shape id="shape_0" stroked="t" o:allowincell="f" style="position:absolute;left:3956;top:3575;width:0;height:248;flip:x;mso-position-horizontal:center" type="_x0000_t32">
                  <v:stroke color="black" weight="9360" endarrow="block" endarrowwidth="medium" endarrowlength="medium" joinstyle="miter" endcap="flat"/>
                  <v:fill o:detectmouseclick="t" on="false"/>
                  <w10:wrap type="square"/>
                </v:shape>
                <v:shape id="shape_0" stroked="t" o:allowincell="f" style="position:absolute;left:3891;top:1381;width:2;height:209;mso-position-horizontal:center" type="_x0000_t32">
                  <v:stroke color="black" weight="9360" endarrow="block" endarrowwidth="medium" endarrowlength="medium" joinstyle="miter" endcap="flat"/>
                  <v:fill o:detectmouseclick="t" on="false"/>
                  <w10:wrap type="square"/>
                </v:shape>
              </v:group>
            </w:pict>
          </mc:Fallback>
        </mc:AlternateContent>
      </w:r>
    </w:p>
    <w:p>
      <w:pPr>
        <w:spacing w:line="360" w:lineRule="auto"/>
        <w:numPr>
          <w:ilvl w:val="0"/>
          <w:numId w:val="0"/>
        </w:numPr>
        <w:outlineLvl w:val="1"/>
        <w:rPr>
          <w:rFonts w:ascii="宋体" w:hAnsi="宋体" w:eastAsia="宋体" w:cs="宋体"/>
          <w:b/>
          <w:bCs/>
          <w:sz w:val="30"/>
          <w:szCs w:val="30"/>
        </w:rPr>
      </w:pPr>
      <w:bookmarkStart w:name="__RefHeading___Toc224858186" w:id="17"/>
      <w:bookmarkEnd w:id="17"/>
      <w:r>
        <w:rPr>
          <w:rFonts w:ascii="宋体" w:hAnsi="宋体" w:eastAsia=""/>
          <w:sz w:val="30"/>
          <w:szCs w:val="30"/>
          <w:b/>
          <w:bCs/>
        </w:rPr>
        <w:t xml:space="preserve">2.2 </w:t>
      </w:r>
      <w:r>
        <w:rPr>
          <w:rFonts w:ascii="宋体" w:hAnsi="宋体" w:eastAsia=""/>
          <w:sz w:val="30"/>
          <w:szCs w:val="30"/>
          <w:b/>
          <w:bCs/>
        </w:rPr>
        <w:t>研究工具</w:t>
      </w:r>
    </w:p>
    <w:p>
      <w:pPr>
        <w:spacing w:line="360" w:lineRule="auto"/>
        <w:numPr>
          <w:ilvl w:val="0"/>
          <w:numId w:val="0"/>
        </w:numPr>
        <w:outlineLvl w:val="2"/>
        <w:rPr>
          <w:rFonts w:ascii="宋体" w:hAnsi="宋体" w:eastAsia="宋体" w:cs="宋体"/>
          <w:b/>
          <w:bCs/>
          <w:sz w:val="28"/>
          <w:szCs w:val="28"/>
        </w:rPr>
      </w:pPr>
      <w:bookmarkStart w:name="__RefHeading___Toc224858187" w:id="18"/>
      <w:bookmarkEnd w:id="18"/>
      <w:r>
        <w:rPr>
          <w:rFonts w:ascii="宋体" w:hAnsi="宋体" w:eastAsia=""/>
          <w:sz w:val="28"/>
          <w:szCs w:val="28"/>
          <w:b/>
          <w:bCs/>
        </w:rPr>
        <w:t xml:space="preserve">2.2.1 </w:t>
      </w:r>
      <w:r>
        <w:rPr>
          <w:rFonts w:ascii="宋体" w:hAnsi="宋体" w:eastAsia=""/>
          <w:sz w:val="28"/>
          <w:szCs w:val="28"/>
          <w:b/>
          <w:bCs/>
        </w:rPr>
        <w:t>患者一般资料调查表</w:t>
      </w:r>
    </w:p>
    <w:p>
      <w:pPr>
        <w:spacing w:line="360" w:lineRule="auto"/>
        <w:ind w:firstLineChars="200"/>
        <w:jc w:val="both"/>
        <w:rPr>
          <w:rFonts w:ascii="宋体" w:hAnsi="宋体" w:eastAsia="宋体" w:cs="宋体"/>
          <w:caps/>
          <w:sz w:val="24"/>
          <w:szCs w:val="24"/>
        </w:rPr>
      </w:pPr>
      <w:r>
        <w:rPr>
          <w:rFonts w:ascii="Times New Roman" w:hAnsi="Times New Roman" w:eastAsia="宋体"/>
          <w:sz w:val="24"/>
          <w:szCs w:val="24"/>
          <w:caps/>
        </w:rPr>
        <w:t>一般资料共有</w:t>
      </w:r>
      <w:r>
        <w:rPr>
          <w:rFonts w:ascii="Times New Roman" w:hAnsi="Times New Roman" w:eastAsia="宋体"/>
          <w:sz w:val="24"/>
          <w:szCs w:val="24"/>
          <w:caps/>
        </w:rPr>
        <w:t>15</w:t>
      </w:r>
      <w:r>
        <w:rPr>
          <w:rFonts w:ascii="Times New Roman" w:hAnsi="Times New Roman" w:eastAsia="宋体"/>
          <w:sz w:val="24"/>
          <w:szCs w:val="24"/>
          <w:caps/>
        </w:rPr>
        <w:t>项，包括性别、年龄、职业、居住地、文化程度、家庭月收入、病程、其他疾病、并发症发生情况、健康教育情况。</w:t>
      </w:r>
    </w:p>
    <w:p>
      <w:pPr>
        <w:spacing w:line="360" w:lineRule="auto"/>
        <w:numPr>
          <w:ilvl w:val="0"/>
          <w:numId w:val="0"/>
        </w:numPr>
        <w:outlineLvl w:val="2"/>
        <w:rPr>
          <w:rFonts w:ascii="宋体" w:hAnsi="宋体" w:eastAsia="宋体" w:cs="宋体"/>
          <w:b/>
          <w:sz w:val="28"/>
          <w:szCs w:val="28"/>
        </w:rPr>
      </w:pPr>
      <w:bookmarkStart w:name="__RefHeading___Toc224858188" w:id="19"/>
      <w:bookmarkEnd w:id="19"/>
      <w:r>
        <w:rPr>
          <w:rFonts w:ascii="宋体" w:hAnsi="宋体" w:eastAsia=""/>
          <w:sz w:val="28"/>
          <w:szCs w:val="28"/>
          <w:b/>
          <w:bCs/>
        </w:rPr>
        <w:t xml:space="preserve">2.2.2 </w:t>
      </w:r>
      <w:r>
        <w:rPr>
          <w:rFonts w:ascii="宋体" w:hAnsi="宋体" w:eastAsia=""/>
          <w:sz w:val="28"/>
          <w:szCs w:val="28"/>
          <w:b/>
          <w:bCs/>
        </w:rPr>
        <w:t>糖尿病知识测试问卷量表</w:t>
      </w:r>
    </w:p>
    <w:p>
      <w:pPr>
        <w:spacing w:line="360" w:lineRule="auto"/>
        <w:ind w:firstLineChars="200"/>
        <w:jc w:val="both"/>
        <w:rPr>
          <w:rFonts w:ascii="宋体" w:hAnsi="宋体" w:eastAsia="宋体" w:cs="宋体"/>
          <w:sz w:val="24"/>
          <w:szCs w:val="24"/>
        </w:rPr>
      </w:pPr>
      <w:r>
        <w:rPr>
          <w:rFonts w:ascii="Times New Roman" w:hAnsi="Times New Roman" w:eastAsia="宋体"/>
          <w:sz w:val="24"/>
          <w:szCs w:val="24"/>
          <w:caps/>
        </w:rPr>
        <w:t>采用由陈蔼玲翻译的密西根糖尿病知识测试问卷，该问卷共</w:t>
      </w:r>
      <w:r>
        <w:rPr>
          <w:rFonts w:ascii="Times New Roman" w:hAnsi="Times New Roman" w:eastAsia="宋体"/>
          <w:sz w:val="24"/>
          <w:szCs w:val="24"/>
          <w:caps/>
        </w:rPr>
        <w:t>23</w:t>
      </w:r>
      <w:r>
        <w:rPr>
          <w:rFonts w:ascii="Times New Roman" w:hAnsi="Times New Roman" w:eastAsia="宋体"/>
          <w:sz w:val="24"/>
          <w:szCs w:val="24"/>
          <w:caps/>
        </w:rPr>
        <w:t>道单选题，选对得</w:t>
      </w:r>
      <w:r>
        <w:rPr>
          <w:rFonts w:ascii="Times New Roman" w:hAnsi="Times New Roman" w:eastAsia="宋体"/>
          <w:sz w:val="24"/>
          <w:szCs w:val="24"/>
          <w:caps/>
        </w:rPr>
        <w:t>1</w:t>
      </w:r>
      <w:r>
        <w:rPr>
          <w:rFonts w:ascii="Times New Roman" w:hAnsi="Times New Roman" w:eastAsia="宋体"/>
          <w:sz w:val="24"/>
          <w:szCs w:val="24"/>
          <w:caps/>
        </w:rPr>
        <w:t>分，选错不得分，总分</w:t>
      </w:r>
      <w:r>
        <w:rPr>
          <w:rFonts w:ascii="Times New Roman" w:hAnsi="Times New Roman" w:eastAsia="宋体"/>
          <w:sz w:val="24"/>
          <w:szCs w:val="24"/>
          <w:caps/>
        </w:rPr>
        <w:t>23</w:t>
      </w:r>
      <w:r>
        <w:rPr>
          <w:rFonts w:ascii="Times New Roman" w:hAnsi="Times New Roman" w:eastAsia="宋体"/>
          <w:sz w:val="24"/>
          <w:szCs w:val="24"/>
          <w:caps/>
        </w:rPr>
        <w:t>分。知识掌握程度划分：＞</w:t>
      </w:r>
      <w:r>
        <w:rPr>
          <w:rFonts w:ascii="Times New Roman" w:hAnsi="Times New Roman" w:eastAsia="宋体"/>
          <w:sz w:val="24"/>
          <w:szCs w:val="24"/>
          <w:caps/>
        </w:rPr>
        <w:t>20</w:t>
      </w:r>
      <w:r>
        <w:rPr>
          <w:rFonts w:ascii="Times New Roman" w:hAnsi="Times New Roman" w:eastAsia="宋体"/>
          <w:sz w:val="24"/>
          <w:szCs w:val="24"/>
          <w:caps/>
        </w:rPr>
        <w:t>分为良好，</w:t>
      </w:r>
      <w:r>
        <w:rPr>
          <w:rFonts w:ascii="Times New Roman" w:hAnsi="Times New Roman" w:eastAsia="宋体"/>
          <w:sz w:val="24"/>
          <w:szCs w:val="24"/>
          <w:caps/>
        </w:rPr>
        <w:t>15-20</w:t>
      </w:r>
      <w:r>
        <w:rPr>
          <w:rFonts w:ascii="Times New Roman" w:hAnsi="Times New Roman" w:eastAsia="宋体"/>
          <w:sz w:val="24"/>
          <w:szCs w:val="24"/>
          <w:caps/>
        </w:rPr>
        <w:t>分为一般，＜</w:t>
      </w:r>
      <w:r>
        <w:rPr>
          <w:rFonts w:ascii="Times New Roman" w:hAnsi="Times New Roman" w:eastAsia="宋体"/>
          <w:sz w:val="24"/>
          <w:szCs w:val="24"/>
          <w:caps/>
        </w:rPr>
        <w:t>15</w:t>
      </w:r>
      <w:r>
        <w:rPr>
          <w:rFonts w:ascii="Times New Roman" w:hAnsi="Times New Roman" w:eastAsia="宋体"/>
          <w:sz w:val="24"/>
          <w:szCs w:val="24"/>
          <w:caps/>
        </w:rPr>
        <w:t>分为差。该量表内容效度在</w:t>
      </w:r>
      <w:r>
        <w:rPr>
          <w:rFonts w:ascii="Times New Roman" w:hAnsi="Times New Roman" w:eastAsia="宋体"/>
          <w:sz w:val="24"/>
          <w:szCs w:val="24"/>
          <w:caps/>
        </w:rPr>
        <w:t>0.06</w:t>
      </w:r>
      <w:r>
        <w:rPr>
          <w:rFonts w:ascii="Times New Roman" w:hAnsi="Times New Roman" w:eastAsia="宋体"/>
          <w:sz w:val="24"/>
          <w:szCs w:val="24"/>
          <w:caps/>
        </w:rPr>
        <w:t>以上，</w:t>
      </w:r>
      <w:r>
        <w:rPr>
          <w:rFonts w:ascii="Times New Roman" w:hAnsi="Times New Roman" w:eastAsia="宋体"/>
          <w:sz w:val="24"/>
          <w:szCs w:val="24"/>
          <w:caps/>
        </w:rPr>
        <w:t>Cronbach’s</w:t>
      </w:r>
      <w:r>
        <w:rPr>
          <w:rFonts w:ascii="Times New Roman" w:hAnsi="Times New Roman" w:eastAsia="宋体"/>
          <w:sz w:val="24"/>
          <w:szCs w:val="24"/>
          <w:caps/>
        </w:rPr>
        <w:sym w:font="Symbol" w:char="f061"/>
      </w:r>
      <w:r>
        <w:rPr>
          <w:rFonts w:ascii="Times New Roman" w:hAnsi="Times New Roman" w:eastAsia="宋体"/>
          <w:sz w:val="24"/>
          <w:szCs w:val="24"/>
          <w:caps/>
        </w:rPr>
        <w:t xml:space="preserve"> </w:t>
      </w:r>
      <w:r>
        <w:rPr>
          <w:rFonts w:ascii="Times New Roman" w:hAnsi="Times New Roman" w:eastAsia="宋体"/>
          <w:sz w:val="24"/>
          <w:szCs w:val="24"/>
          <w:caps/>
        </w:rPr>
        <w:t>系数在</w:t>
      </w:r>
      <w:r>
        <w:rPr>
          <w:rFonts w:ascii="Times New Roman" w:hAnsi="Times New Roman" w:eastAsia="宋体"/>
          <w:sz w:val="24"/>
          <w:szCs w:val="24"/>
          <w:caps/>
        </w:rPr>
        <w:t>0.70</w:t>
      </w:r>
      <w:r>
        <w:rPr>
          <w:rFonts w:ascii="Times New Roman" w:hAnsi="Times New Roman" w:eastAsia="宋体"/>
          <w:sz w:val="24"/>
          <w:szCs w:val="24"/>
          <w:caps/>
        </w:rPr>
        <w:t>以上，具有良好的信效度</w:t>
      </w:r>
      <w:r>
        <w:rPr>
          <w:rFonts w:ascii="Times New Roman" w:hAnsi="Times New Roman" w:eastAsia="宋体"/>
          <w:sz w:val="24"/>
          <w:szCs w:val="24"/>
          <w:caps/>
          <w:vertAlign w:val="superscript"/>
        </w:rPr>
        <w:t>[2]</w:t>
      </w:r>
      <w:r>
        <w:rPr>
          <w:rFonts w:ascii="Times New Roman" w:hAnsi="Times New Roman" w:eastAsia="宋体"/>
          <w:sz w:val="24"/>
          <w:szCs w:val="24"/>
          <w:caps/>
        </w:rPr>
        <w:t>。</w:t>
      </w:r>
    </w:p>
    <w:p>
      <w:pPr>
        <w:spacing w:line="360" w:lineRule="auto"/>
        <w:ind w:firstLineChars="200"/>
        <w:jc w:val="both"/>
        <w:numPr>
          <w:ilvl w:val="0"/>
          <w:numId w:val="0"/>
        </w:numPr>
        <w:snapToGrid w:val="false"/>
        <w:outlineLvl w:val="0"/>
        <w:rPr>
          <w:rFonts w:ascii="宋体" w:hAnsi="宋体" w:eastAsia="宋体" w:cs="宋体"/>
          <w:b/>
          <w:bCs/>
          <w:sz w:val="32"/>
          <w:szCs w:val="32"/>
        </w:rPr>
      </w:pPr>
      <w:bookmarkStart w:name="__RefHeading___Toc224858189" w:id="20"/>
      <w:bookmarkEnd w:id="20"/>
      <w:r>
        <w:rPr>
          <w:rFonts w:ascii="Times New Roman" w:hAnsi="Times New Roman" w:eastAsia="宋体"/>
          <w:sz w:val="24"/>
          <w:szCs w:val="24"/>
        </w:rPr>
        <w:t>3</w:t>
      </w:r>
      <w:r>
        <w:rPr>
          <w:rFonts w:ascii="Times New Roman" w:hAnsi="Times New Roman" w:eastAsia="宋体"/>
          <w:sz w:val="24"/>
          <w:szCs w:val="24"/>
        </w:rPr>
        <w:t>研究结果</w:t>
      </w:r>
    </w:p>
    <w:p>
      <w:pPr>
        <w:spacing w:line="360" w:lineRule="auto"/>
        <w:numPr>
          <w:ilvl w:val="0"/>
          <w:numId w:val="0"/>
        </w:numPr>
        <w:outlineLvl w:val="1"/>
        <w:rPr>
          <w:rFonts w:ascii="宋体" w:hAnsi="宋体" w:eastAsia="宋体" w:cs="宋体"/>
          <w:b/>
          <w:bCs/>
          <w:sz w:val="30"/>
          <w:szCs w:val="30"/>
        </w:rPr>
      </w:pPr>
      <w:bookmarkStart w:name="__RefHeading___Toc224858190" w:id="21"/>
      <w:bookmarkEnd w:id="21"/>
      <w:r>
        <w:rPr>
          <w:rFonts w:ascii="宋体" w:hAnsi="宋体" w:eastAsia=""/>
          <w:sz w:val="30"/>
          <w:szCs w:val="30"/>
          <w:b/>
          <w:bCs/>
        </w:rPr>
        <w:t xml:space="preserve">3.1 </w:t>
      </w:r>
      <w:r>
        <w:rPr>
          <w:rFonts w:ascii="宋体" w:hAnsi="宋体" w:eastAsia=""/>
          <w:sz w:val="30"/>
          <w:szCs w:val="30"/>
          <w:b/>
          <w:bCs/>
        </w:rPr>
        <w:t>研究样本的基本特征分布</w:t>
      </w:r>
    </w:p>
    <w:p>
      <w:pPr>
        <w:spacing w:line="360" w:lineRule="auto"/>
        <w:ind w:firstLineChars="200"/>
        <w:jc w:val="both"/>
        <w:rPr>
          <w:rFonts w:ascii="宋体" w:hAnsi="宋体" w:eastAsia="宋体" w:cs="宋体"/>
          <w:b/>
          <w:sz w:val="24"/>
          <w:szCs w:val="24"/>
        </w:rPr>
      </w:pPr>
      <w:r>
        <w:rPr>
          <w:rFonts w:ascii="Times New Roman" w:hAnsi="Times New Roman" w:eastAsia="宋体"/>
          <w:sz w:val="24"/>
          <w:szCs w:val="24"/>
        </w:rPr>
        <w:t>在</w:t>
      </w:r>
      <w:r>
        <w:rPr>
          <w:rFonts w:ascii="Times New Roman" w:hAnsi="Times New Roman" w:eastAsia="宋体"/>
          <w:sz w:val="24"/>
          <w:szCs w:val="24"/>
        </w:rPr>
        <w:t>190</w:t>
      </w:r>
      <w:r>
        <w:rPr>
          <w:rFonts w:ascii="Times New Roman" w:hAnsi="Times New Roman" w:eastAsia="宋体"/>
          <w:sz w:val="24"/>
          <w:szCs w:val="24"/>
        </w:rPr>
        <w:t>例调查对象中，女性占</w:t>
      </w:r>
      <w:r>
        <w:rPr>
          <w:rFonts w:ascii="Times New Roman" w:hAnsi="Times New Roman" w:eastAsia="宋体"/>
          <w:sz w:val="24"/>
          <w:szCs w:val="24"/>
        </w:rPr>
        <w:t>53.7%</w:t>
      </w:r>
      <w:r>
        <w:rPr>
          <w:rFonts w:ascii="Times New Roman" w:hAnsi="Times New Roman" w:eastAsia="宋体"/>
          <w:sz w:val="24"/>
          <w:szCs w:val="24"/>
        </w:rPr>
        <w:t>，男性</w:t>
      </w:r>
      <w:r>
        <w:rPr>
          <w:rFonts w:ascii="Times New Roman" w:hAnsi="Times New Roman" w:eastAsia="宋体"/>
          <w:sz w:val="24"/>
          <w:szCs w:val="24"/>
        </w:rPr>
        <w:t>46.3%</w:t>
      </w:r>
      <w:r>
        <w:rPr>
          <w:rFonts w:ascii="Times New Roman" w:hAnsi="Times New Roman" w:eastAsia="宋体"/>
          <w:sz w:val="24"/>
          <w:szCs w:val="24"/>
        </w:rPr>
        <w:t>，性别分布较均衡；＞</w:t>
      </w:r>
      <w:r>
        <w:rPr>
          <w:rFonts w:ascii="Times New Roman" w:hAnsi="Times New Roman" w:eastAsia="宋体"/>
          <w:sz w:val="24"/>
          <w:szCs w:val="24"/>
        </w:rPr>
        <w:t>60</w:t>
      </w:r>
      <w:r>
        <w:rPr>
          <w:rFonts w:ascii="Times New Roman" w:hAnsi="Times New Roman" w:eastAsia="宋体"/>
          <w:sz w:val="24"/>
          <w:szCs w:val="24"/>
        </w:rPr>
        <w:t>岁高龄人群为主，占</w:t>
      </w:r>
      <w:r>
        <w:rPr>
          <w:rFonts w:ascii="Times New Roman" w:hAnsi="Times New Roman" w:eastAsia="宋体"/>
          <w:sz w:val="24"/>
          <w:szCs w:val="24"/>
        </w:rPr>
        <w:t>54.2%</w:t>
      </w:r>
      <w:r>
        <w:rPr>
          <w:rFonts w:ascii="Times New Roman" w:hAnsi="Times New Roman" w:eastAsia="宋体"/>
          <w:sz w:val="24"/>
          <w:szCs w:val="24"/>
        </w:rPr>
        <w:t>，</w:t>
      </w:r>
      <w:r>
        <w:rPr>
          <w:rFonts w:ascii="Times New Roman" w:hAnsi="Times New Roman" w:eastAsia="宋体"/>
          <w:sz w:val="24"/>
          <w:szCs w:val="24"/>
        </w:rPr>
        <w:t>40-60</w:t>
      </w:r>
      <w:r>
        <w:rPr>
          <w:rFonts w:ascii="Times New Roman" w:hAnsi="Times New Roman" w:eastAsia="宋体"/>
          <w:sz w:val="24"/>
          <w:szCs w:val="24"/>
        </w:rPr>
        <w:t>岁占</w:t>
      </w:r>
      <w:r>
        <w:rPr>
          <w:rFonts w:ascii="Times New Roman" w:hAnsi="Times New Roman" w:eastAsia="宋体"/>
          <w:sz w:val="24"/>
          <w:szCs w:val="24"/>
        </w:rPr>
        <w:t>28.4%</w:t>
      </w:r>
      <w:r>
        <w:rPr>
          <w:rFonts w:ascii="Times New Roman" w:hAnsi="Times New Roman" w:eastAsia="宋体"/>
          <w:sz w:val="24"/>
          <w:szCs w:val="24"/>
        </w:rPr>
        <w:t>，＜</w:t>
      </w:r>
      <w:r>
        <w:rPr>
          <w:rFonts w:ascii="Times New Roman" w:hAnsi="Times New Roman" w:eastAsia="宋体"/>
          <w:sz w:val="24"/>
          <w:szCs w:val="24"/>
        </w:rPr>
        <w:t>40</w:t>
      </w:r>
      <w:r>
        <w:rPr>
          <w:rFonts w:ascii="Times New Roman" w:hAnsi="Times New Roman" w:eastAsia="宋体"/>
          <w:sz w:val="24"/>
          <w:szCs w:val="24"/>
        </w:rPr>
        <w:t>仅</w:t>
      </w:r>
      <w:r>
        <w:rPr>
          <w:rFonts w:ascii="Times New Roman" w:hAnsi="Times New Roman" w:eastAsia="宋体"/>
          <w:sz w:val="24"/>
          <w:szCs w:val="24"/>
        </w:rPr>
        <w:t>17.4%</w:t>
      </w:r>
      <w:r>
        <w:rPr>
          <w:rFonts w:ascii="Times New Roman" w:hAnsi="Times New Roman" w:eastAsia="宋体"/>
          <w:sz w:val="24"/>
          <w:szCs w:val="24"/>
        </w:rPr>
        <w:t>；无业及退休人群占比最高</w:t>
      </w:r>
      <w:r>
        <w:rPr>
          <w:rFonts w:ascii="Times New Roman" w:hAnsi="Times New Roman" w:eastAsia="宋体"/>
          <w:sz w:val="24"/>
          <w:szCs w:val="24"/>
        </w:rPr>
        <w:t>63.7%</w:t>
      </w:r>
      <w:r>
        <w:rPr>
          <w:rFonts w:ascii="Times New Roman" w:hAnsi="Times New Roman" w:eastAsia="宋体"/>
          <w:sz w:val="24"/>
          <w:szCs w:val="24"/>
        </w:rPr>
        <w:t>，脑力劳动</w:t>
      </w:r>
      <w:r>
        <w:rPr>
          <w:rFonts w:ascii="Times New Roman" w:hAnsi="Times New Roman" w:eastAsia="宋体"/>
          <w:sz w:val="24"/>
          <w:szCs w:val="24"/>
        </w:rPr>
        <w:t>19.5%</w:t>
      </w:r>
      <w:r>
        <w:rPr>
          <w:rFonts w:ascii="Times New Roman" w:hAnsi="Times New Roman" w:eastAsia="宋体"/>
          <w:sz w:val="24"/>
          <w:szCs w:val="24"/>
        </w:rPr>
        <w:t>，体力劳动</w:t>
      </w:r>
      <w:r>
        <w:rPr>
          <w:rFonts w:ascii="Times New Roman" w:hAnsi="Times New Roman" w:eastAsia="宋体"/>
          <w:sz w:val="24"/>
          <w:szCs w:val="24"/>
        </w:rPr>
        <w:t>16.8%</w:t>
      </w:r>
      <w:r>
        <w:rPr>
          <w:rFonts w:ascii="Times New Roman" w:hAnsi="Times New Roman" w:eastAsia="宋体"/>
          <w:sz w:val="24"/>
          <w:szCs w:val="24"/>
        </w:rPr>
        <w:t>；居住地城镇</w:t>
      </w:r>
      <w:r>
        <w:rPr>
          <w:rFonts w:ascii="Times New Roman" w:hAnsi="Times New Roman" w:eastAsia="宋体"/>
          <w:sz w:val="24"/>
          <w:szCs w:val="24"/>
        </w:rPr>
        <w:t>52.1%</w:t>
      </w:r>
      <w:r>
        <w:rPr>
          <w:rFonts w:ascii="Times New Roman" w:hAnsi="Times New Roman" w:eastAsia="宋体"/>
          <w:sz w:val="24"/>
          <w:szCs w:val="24"/>
        </w:rPr>
        <w:t>略高于农村</w:t>
      </w:r>
      <w:r>
        <w:rPr>
          <w:rFonts w:ascii="Times New Roman" w:hAnsi="Times New Roman" w:eastAsia="宋体"/>
          <w:sz w:val="24"/>
          <w:szCs w:val="24"/>
        </w:rPr>
        <w:t>47.9%</w:t>
      </w:r>
      <w:r>
        <w:rPr>
          <w:rFonts w:ascii="Times New Roman" w:hAnsi="Times New Roman" w:eastAsia="宋体"/>
          <w:sz w:val="24"/>
          <w:szCs w:val="24"/>
        </w:rPr>
        <w:t>；初中及以下文化低学历占</w:t>
      </w:r>
      <w:r>
        <w:rPr>
          <w:rFonts w:ascii="Times New Roman" w:hAnsi="Times New Roman" w:eastAsia="宋体"/>
          <w:sz w:val="24"/>
          <w:szCs w:val="24"/>
        </w:rPr>
        <w:t>50%;</w:t>
      </w:r>
      <w:r>
        <w:rPr>
          <w:rFonts w:ascii="Times New Roman" w:hAnsi="Times New Roman" w:eastAsia="宋体"/>
          <w:sz w:val="24"/>
          <w:szCs w:val="24"/>
        </w:rPr>
        <w:t>＜</w:t>
      </w:r>
      <w:r>
        <w:rPr>
          <w:rFonts w:ascii="Times New Roman" w:hAnsi="Times New Roman" w:eastAsia="宋体"/>
          <w:sz w:val="24"/>
          <w:szCs w:val="24"/>
        </w:rPr>
        <w:t>3000</w:t>
      </w:r>
      <w:r>
        <w:rPr>
          <w:rFonts w:ascii="Times New Roman" w:hAnsi="Times New Roman" w:eastAsia="宋体"/>
          <w:sz w:val="24"/>
          <w:szCs w:val="24"/>
        </w:rPr>
        <w:t>元低收入组占比最高</w:t>
      </w:r>
      <w:r>
        <w:rPr>
          <w:rFonts w:ascii="Times New Roman" w:hAnsi="Times New Roman" w:eastAsia="宋体"/>
          <w:sz w:val="24"/>
          <w:szCs w:val="24"/>
        </w:rPr>
        <w:t>38.4%,</w:t>
      </w:r>
      <w:r>
        <w:rPr>
          <w:rFonts w:ascii="Times New Roman" w:hAnsi="Times New Roman" w:eastAsia="宋体"/>
          <w:sz w:val="24"/>
          <w:szCs w:val="24"/>
        </w:rPr>
        <w:t>＞</w:t>
      </w:r>
      <w:r>
        <w:rPr>
          <w:rFonts w:ascii="Times New Roman" w:hAnsi="Times New Roman" w:eastAsia="宋体"/>
          <w:sz w:val="24"/>
          <w:szCs w:val="24"/>
        </w:rPr>
        <w:t>6000</w:t>
      </w:r>
      <w:r>
        <w:rPr>
          <w:rFonts w:ascii="Times New Roman" w:hAnsi="Times New Roman" w:eastAsia="宋体"/>
          <w:sz w:val="24"/>
          <w:szCs w:val="24"/>
        </w:rPr>
        <w:t>元占</w:t>
      </w:r>
      <w:r>
        <w:rPr>
          <w:rFonts w:ascii="Times New Roman" w:hAnsi="Times New Roman" w:eastAsia="宋体"/>
          <w:sz w:val="24"/>
          <w:szCs w:val="24"/>
        </w:rPr>
        <w:t>32.6%</w:t>
      </w:r>
      <w:r>
        <w:rPr>
          <w:rFonts w:ascii="Times New Roman" w:hAnsi="Times New Roman" w:eastAsia="宋体"/>
          <w:sz w:val="24"/>
          <w:szCs w:val="24"/>
        </w:rPr>
        <w:t>，</w:t>
      </w:r>
      <w:r>
        <w:rPr>
          <w:rFonts w:ascii="Times New Roman" w:hAnsi="Times New Roman" w:eastAsia="宋体"/>
          <w:sz w:val="24"/>
          <w:szCs w:val="24"/>
        </w:rPr>
        <w:t>3000-6000</w:t>
      </w:r>
      <w:r>
        <w:rPr>
          <w:rFonts w:ascii="Times New Roman" w:hAnsi="Times New Roman" w:eastAsia="宋体"/>
          <w:sz w:val="24"/>
          <w:szCs w:val="24"/>
        </w:rPr>
        <w:t>元占</w:t>
      </w:r>
      <w:r>
        <w:rPr>
          <w:rFonts w:ascii="Times New Roman" w:hAnsi="Times New Roman" w:eastAsia="宋体"/>
          <w:sz w:val="24"/>
          <w:szCs w:val="24"/>
        </w:rPr>
        <w:t>28.9%</w:t>
      </w:r>
      <w:r>
        <w:rPr>
          <w:rFonts w:ascii="Times New Roman" w:hAnsi="Times New Roman" w:eastAsia="宋体"/>
          <w:sz w:val="24"/>
          <w:szCs w:val="24"/>
        </w:rPr>
        <w:t>；不吸烟（</w:t>
      </w:r>
      <w:r>
        <w:rPr>
          <w:rFonts w:ascii="Times New Roman" w:hAnsi="Times New Roman" w:eastAsia="宋体"/>
          <w:sz w:val="24"/>
          <w:szCs w:val="24"/>
        </w:rPr>
        <w:t>57.4%</w:t>
      </w:r>
      <w:r>
        <w:rPr>
          <w:rFonts w:ascii="Times New Roman" w:hAnsi="Times New Roman" w:eastAsia="宋体"/>
          <w:sz w:val="24"/>
          <w:szCs w:val="24"/>
        </w:rPr>
        <w:t>）、不饮酒（</w:t>
      </w:r>
      <w:r>
        <w:rPr>
          <w:rFonts w:ascii="Times New Roman" w:hAnsi="Times New Roman" w:eastAsia="宋体"/>
          <w:sz w:val="24"/>
          <w:szCs w:val="24"/>
        </w:rPr>
        <w:t>66.8%</w:t>
      </w:r>
      <w:r>
        <w:rPr>
          <w:rFonts w:ascii="Times New Roman" w:hAnsi="Times New Roman" w:eastAsia="宋体"/>
          <w:sz w:val="24"/>
          <w:szCs w:val="24"/>
        </w:rPr>
        <w:t>）者居多，仅</w:t>
      </w:r>
      <w:r>
        <w:rPr>
          <w:rFonts w:ascii="Times New Roman" w:hAnsi="Times New Roman" w:eastAsia="宋体"/>
          <w:sz w:val="24"/>
          <w:szCs w:val="24"/>
        </w:rPr>
        <w:t>34.2%</w:t>
      </w:r>
      <w:r>
        <w:rPr>
          <w:rFonts w:ascii="Times New Roman" w:hAnsi="Times New Roman" w:eastAsia="宋体"/>
          <w:sz w:val="24"/>
          <w:szCs w:val="24"/>
        </w:rPr>
        <w:t>患者接受过糖尿病健康教育。</w:t>
      </w:r>
    </w:p>
    <w:p>
      <w:pPr>
        <w:spacing w:line="360" w:lineRule="auto"/>
        <w:ind w:firstLineChars="200"/>
        <w:jc w:val="both"/>
        <w:rPr>
          <w:rFonts w:ascii="宋体" w:hAnsi="宋体" w:eastAsia="宋体" w:cs="宋体"/>
          <w:b/>
          <w:sz w:val="24"/>
          <w:szCs w:val="24"/>
        </w:rPr>
      </w:pPr>
      <w:r>
        <w:rPr>
          <w:rFonts w:ascii="Times New Roman" w:hAnsi="Times New Roman" w:eastAsia="宋体"/>
          <w:sz w:val="24"/>
          <w:szCs w:val="24"/>
        </w:rPr>
        <w:t>患者病程在</w:t>
      </w:r>
      <w:r>
        <w:rPr>
          <w:rFonts w:ascii="Times New Roman" w:hAnsi="Times New Roman" w:eastAsia="宋体"/>
          <w:sz w:val="24"/>
          <w:szCs w:val="24"/>
        </w:rPr>
        <w:t>3-9</w:t>
      </w:r>
      <w:r>
        <w:rPr>
          <w:rFonts w:ascii="Times New Roman" w:hAnsi="Times New Roman" w:eastAsia="宋体"/>
          <w:sz w:val="24"/>
          <w:szCs w:val="24"/>
        </w:rPr>
        <w:t>年占比最高为</w:t>
      </w:r>
      <w:r>
        <w:rPr>
          <w:rFonts w:ascii="Times New Roman" w:hAnsi="Times New Roman" w:eastAsia="宋体"/>
          <w:sz w:val="24"/>
          <w:szCs w:val="24"/>
        </w:rPr>
        <w:t>44.7%</w:t>
      </w:r>
      <w:r>
        <w:rPr>
          <w:rFonts w:ascii="Times New Roman" w:hAnsi="Times New Roman" w:eastAsia="宋体"/>
          <w:sz w:val="24"/>
          <w:szCs w:val="24"/>
        </w:rPr>
        <w:t>，＜</w:t>
      </w:r>
      <w:r>
        <w:rPr>
          <w:rFonts w:ascii="Times New Roman" w:hAnsi="Times New Roman" w:eastAsia="宋体"/>
          <w:sz w:val="24"/>
          <w:szCs w:val="24"/>
        </w:rPr>
        <w:t>3</w:t>
      </w:r>
      <w:r>
        <w:rPr>
          <w:rFonts w:ascii="Times New Roman" w:hAnsi="Times New Roman" w:eastAsia="宋体"/>
          <w:sz w:val="24"/>
          <w:szCs w:val="24"/>
        </w:rPr>
        <w:t>年占</w:t>
      </w:r>
      <w:r>
        <w:rPr>
          <w:rFonts w:ascii="Times New Roman" w:hAnsi="Times New Roman" w:eastAsia="宋体"/>
          <w:sz w:val="24"/>
          <w:szCs w:val="24"/>
        </w:rPr>
        <w:t>32.1%</w:t>
      </w:r>
      <w:r>
        <w:rPr>
          <w:rFonts w:ascii="Times New Roman" w:hAnsi="Times New Roman" w:eastAsia="宋体"/>
          <w:sz w:val="24"/>
          <w:szCs w:val="24"/>
        </w:rPr>
        <w:t>，＞</w:t>
      </w:r>
      <w:r>
        <w:rPr>
          <w:rFonts w:ascii="Times New Roman" w:hAnsi="Times New Roman" w:eastAsia="宋体"/>
          <w:sz w:val="24"/>
          <w:szCs w:val="24"/>
        </w:rPr>
        <w:t>9</w:t>
      </w:r>
      <w:r>
        <w:rPr>
          <w:rFonts w:ascii="Times New Roman" w:hAnsi="Times New Roman" w:eastAsia="宋体"/>
          <w:sz w:val="24"/>
          <w:szCs w:val="24"/>
        </w:rPr>
        <w:t>年占</w:t>
      </w:r>
      <w:r>
        <w:rPr>
          <w:rFonts w:ascii="Times New Roman" w:hAnsi="Times New Roman" w:eastAsia="宋体"/>
          <w:sz w:val="24"/>
          <w:szCs w:val="24"/>
        </w:rPr>
        <w:t>23.2%</w:t>
      </w:r>
      <w:r>
        <w:rPr>
          <w:rFonts w:ascii="Times New Roman" w:hAnsi="Times New Roman" w:eastAsia="宋体"/>
          <w:sz w:val="24"/>
          <w:szCs w:val="24"/>
        </w:rPr>
        <w:t>；空腹血糖＜</w:t>
      </w:r>
      <w:r>
        <w:rPr>
          <w:rFonts w:ascii="Times New Roman" w:hAnsi="Times New Roman" w:eastAsia="宋体"/>
          <w:sz w:val="24"/>
          <w:szCs w:val="24"/>
        </w:rPr>
        <w:t>7mmol/L</w:t>
      </w:r>
      <w:r>
        <w:rPr>
          <w:rFonts w:ascii="Times New Roman" w:hAnsi="Times New Roman" w:eastAsia="宋体"/>
          <w:sz w:val="24"/>
          <w:szCs w:val="24"/>
        </w:rPr>
        <w:t>者</w:t>
      </w:r>
      <w:r>
        <w:rPr>
          <w:rFonts w:ascii="Times New Roman" w:hAnsi="Times New Roman" w:eastAsia="宋体"/>
          <w:sz w:val="24"/>
          <w:szCs w:val="24"/>
        </w:rPr>
        <w:t>55.8%</w:t>
      </w:r>
      <w:r>
        <w:rPr>
          <w:rFonts w:ascii="Times New Roman" w:hAnsi="Times New Roman" w:eastAsia="宋体"/>
          <w:sz w:val="24"/>
          <w:szCs w:val="24"/>
        </w:rPr>
        <w:t>，＞</w:t>
      </w:r>
      <w:r>
        <w:rPr>
          <w:rFonts w:ascii="Times New Roman" w:hAnsi="Times New Roman" w:eastAsia="宋体"/>
          <w:sz w:val="24"/>
          <w:szCs w:val="24"/>
        </w:rPr>
        <w:t>7mmol/L</w:t>
      </w:r>
      <w:r>
        <w:rPr>
          <w:rFonts w:ascii="Times New Roman" w:hAnsi="Times New Roman" w:eastAsia="宋体"/>
          <w:sz w:val="24"/>
          <w:szCs w:val="24"/>
        </w:rPr>
        <w:t>者</w:t>
      </w:r>
      <w:r>
        <w:rPr>
          <w:rFonts w:ascii="Times New Roman" w:hAnsi="Times New Roman" w:eastAsia="宋体"/>
          <w:sz w:val="24"/>
          <w:szCs w:val="24"/>
        </w:rPr>
        <w:t>44.2%</w:t>
      </w:r>
      <w:r>
        <w:rPr>
          <w:rFonts w:ascii="Times New Roman" w:hAnsi="Times New Roman" w:eastAsia="宋体"/>
          <w:sz w:val="24"/>
          <w:szCs w:val="24"/>
        </w:rPr>
        <w:t>；糖化血红蛋白以</w:t>
      </w:r>
      <w:r>
        <w:rPr>
          <w:rFonts w:ascii="Times New Roman" w:hAnsi="Times New Roman" w:eastAsia="宋体"/>
          <w:sz w:val="24"/>
          <w:szCs w:val="24"/>
        </w:rPr>
        <w:t>6.5-7.5</w:t>
      </w:r>
      <w:r>
        <w:rPr>
          <w:rFonts w:ascii="Times New Roman" w:hAnsi="Times New Roman" w:eastAsia="宋体"/>
          <w:sz w:val="24"/>
          <w:szCs w:val="24"/>
        </w:rPr>
        <w:t>区间为主</w:t>
      </w:r>
      <w:r>
        <w:rPr>
          <w:rFonts w:ascii="Times New Roman" w:hAnsi="Times New Roman" w:eastAsia="宋体"/>
          <w:sz w:val="24"/>
          <w:szCs w:val="24"/>
        </w:rPr>
        <w:t>(54.2%),</w:t>
      </w:r>
      <w:r>
        <w:rPr>
          <w:rFonts w:ascii="Times New Roman" w:hAnsi="Times New Roman" w:eastAsia="宋体"/>
          <w:sz w:val="24"/>
          <w:szCs w:val="24"/>
        </w:rPr>
        <w:t>＜</w:t>
      </w:r>
      <w:r>
        <w:rPr>
          <w:rFonts w:ascii="Times New Roman" w:hAnsi="Times New Roman" w:eastAsia="宋体"/>
          <w:sz w:val="24"/>
          <w:szCs w:val="24"/>
        </w:rPr>
        <w:t>6.5</w:t>
      </w:r>
      <w:r>
        <w:rPr>
          <w:rFonts w:ascii="Times New Roman" w:hAnsi="Times New Roman" w:eastAsia="宋体"/>
          <w:sz w:val="24"/>
          <w:szCs w:val="24"/>
        </w:rPr>
        <w:t>仅</w:t>
      </w:r>
      <w:r>
        <w:rPr>
          <w:rFonts w:ascii="Times New Roman" w:hAnsi="Times New Roman" w:eastAsia="宋体"/>
          <w:sz w:val="24"/>
          <w:szCs w:val="24"/>
        </w:rPr>
        <w:t>26.3%</w:t>
      </w:r>
      <w:r>
        <w:rPr>
          <w:rFonts w:ascii="Times New Roman" w:hAnsi="Times New Roman" w:eastAsia="宋体"/>
          <w:sz w:val="24"/>
          <w:szCs w:val="24"/>
        </w:rPr>
        <w:t>；合并并发症者占多数（</w:t>
      </w:r>
      <w:r>
        <w:rPr>
          <w:rFonts w:ascii="Times New Roman" w:hAnsi="Times New Roman" w:eastAsia="宋体"/>
          <w:sz w:val="24"/>
          <w:szCs w:val="24"/>
        </w:rPr>
        <w:t>65.8%</w:t>
      </w:r>
      <w:r>
        <w:rPr>
          <w:rFonts w:ascii="Times New Roman" w:hAnsi="Times New Roman" w:eastAsia="宋体"/>
          <w:sz w:val="24"/>
          <w:szCs w:val="24"/>
        </w:rPr>
        <w:t>），有糖尿病家族史者</w:t>
      </w:r>
      <w:r>
        <w:rPr>
          <w:rFonts w:ascii="Times New Roman" w:hAnsi="Times New Roman" w:eastAsia="宋体"/>
          <w:sz w:val="24"/>
          <w:szCs w:val="24"/>
        </w:rPr>
        <w:t>37.4%</w:t>
      </w:r>
      <w:r>
        <w:rPr>
          <w:rFonts w:ascii="Times New Roman" w:hAnsi="Times New Roman" w:eastAsia="宋体"/>
          <w:sz w:val="24"/>
          <w:szCs w:val="24"/>
        </w:rPr>
        <w:t>；无特殊饮食习惯者</w:t>
      </w:r>
      <w:r>
        <w:rPr>
          <w:rFonts w:ascii="Times New Roman" w:hAnsi="Times New Roman" w:eastAsia="宋体"/>
          <w:sz w:val="24"/>
          <w:szCs w:val="24"/>
        </w:rPr>
        <w:t>57.9%</w:t>
      </w:r>
      <w:r>
        <w:rPr>
          <w:rFonts w:ascii="Times New Roman" w:hAnsi="Times New Roman" w:eastAsia="宋体"/>
          <w:sz w:val="24"/>
          <w:szCs w:val="24"/>
        </w:rPr>
        <w:t>。</w:t>
      </w:r>
      <w:r>
        <w:rPr>
          <w:rFonts w:ascii="Times New Roman" w:hAnsi="Times New Roman" w:eastAsia="宋体"/>
          <w:sz w:val="24"/>
          <w:szCs w:val="24"/>
        </w:rPr>
        <w:t>见表</w:t>
      </w:r>
      <w:r>
        <w:rPr>
          <w:rFonts w:ascii="Times New Roman" w:hAnsi="Times New Roman" w:eastAsia="宋体"/>
          <w:sz w:val="24"/>
          <w:szCs w:val="24"/>
        </w:rPr>
        <w:t>3-1</w:t>
      </w:r>
    </w:p>
    <w:p>
      <w:pPr>
        <w:spacing w:line="360" w:lineRule="auto"/>
        <w:ind w:firstLineChars="0"/>
        <w:jc w:val="center"/>
        <w:tabs>
          <w:tab w:val="clear" w:pos="420"/>
          <w:tab w:val="left" w:leader="none" w:pos="3289"/>
        </w:tabs>
        <w:rPr>
          <w:rFonts w:ascii="宋体" w:hAnsi="宋体" w:eastAsia="宋体" w:cs="宋体"/>
          <w:sz w:val="24"/>
          <w:szCs w:val="24"/>
        </w:rPr>
      </w:pPr>
      <w:r>
        <w:rPr>
          <w:rFonts w:ascii="Times New Roman" w:hAnsi="Times New Roman" w:eastAsia="宋体"/>
          <w:sz w:val="21"/>
          <w:szCs w:val="21"/>
        </w:rPr>
        <w:t>表</w:t>
      </w:r>
      <w:r>
        <w:rPr>
          <w:rFonts w:ascii="Times New Roman" w:hAnsi="Times New Roman" w:eastAsia="宋体"/>
          <w:sz w:val="21"/>
          <w:szCs w:val="21"/>
        </w:rPr>
        <w:t xml:space="preserve">3-1 </w:t>
      </w:r>
      <w:r>
        <w:rPr>
          <w:rFonts w:ascii="Times New Roman" w:hAnsi="Times New Roman" w:eastAsia="宋体"/>
          <w:sz w:val="21"/>
          <w:szCs w:val="21"/>
        </w:rPr>
        <w:t>社区</w:t>
      </w:r>
      <w:r>
        <w:rPr>
          <w:rFonts w:ascii="Times New Roman" w:hAnsi="Times New Roman" w:eastAsia="宋体"/>
          <w:sz w:val="21"/>
          <w:szCs w:val="21"/>
        </w:rPr>
        <w:t>2</w:t>
      </w:r>
      <w:r>
        <w:rPr>
          <w:rFonts w:ascii="Times New Roman" w:hAnsi="Times New Roman" w:eastAsia="宋体"/>
          <w:sz w:val="21"/>
          <w:szCs w:val="21"/>
        </w:rPr>
        <w:t>型糖尿病患者基本特征分布（</w:t>
      </w:r>
      <w:r>
        <w:rPr>
          <w:rFonts w:ascii="Times New Roman" w:hAnsi="Times New Roman" w:eastAsia="宋体"/>
          <w:sz w:val="21"/>
          <w:szCs w:val="21"/>
        </w:rPr>
        <w:t>n=190</w:t>
      </w:r>
      <w:r>
        <w:rPr>
          <w:rFonts w:ascii="Times New Roman" w:hAnsi="Times New Roman" w:eastAsia="宋体"/>
          <w:sz w:val="21"/>
          <w:szCs w:val="21"/>
        </w:rPr>
        <w:t>）</w:t>
      </w:r>
    </w:p>
    <w:tbl>
      <w:tblPr>
        <w:tblW w:w="8642" w:type="dxa"/>
        <w:jc w:val="center"/>
        <w:tblInd w:w="0" w:type="dxa"/>
        <w:tblLayout w:type="fixed"/>
        <w:tblCellMar>
          <w:top w:w="0" w:type="dxa"/>
          <w:start w:w="108" w:type="dxa"/>
          <w:bottom w:w="0" w:type="dxa"/>
          <w:end w:w="108" w:type="dxa"/>
        </w:tblCellMar>
      </w:tblPr>
      <w:tblGrid>
        <w:gridCol w:w="3839"/>
        <w:gridCol w:w="1987"/>
        <w:gridCol w:w="1315"/>
        <w:gridCol w:w="1501"/>
      </w:tblGrid>
      <w:tr>
        <w:trPr>
          <w:trHeight w:val="283" w:hRule="atLeast"/>
        </w:trPr>
        <w:tc>
          <w:tcPr>
            <w:tcW w:w="3839" w:type="dxa"/>
            <w:tcBorders>
              <w:top w:val="single" w:color="000000" w:sz="12" w:space="0"/>
              <w:bottom w:val="single" w:color="000000" w:sz="6" w:space="0"/>
            </w:tcBorders>
          </w:tcPr>
          <w:p>
            <w:pPr>
              <w:spacing w:line="360" w:lineRule="auto"/>
              <w:ind w:firstLineChars="200"/>
              <w:jc w:val="both"/>
              <w:widowControl/>
              <w:rPr>
                <w:rFonts w:ascii="宋体" w:hAnsi="宋体" w:eastAsia="宋体" w:cs="宋体"/>
                <w:kern w:val="0"/>
                <w:sz w:val="24"/>
                <w:szCs w:val="24"/>
              </w:rPr>
            </w:pPr>
            <w:r>
              <w:rPr>
                <w:rFonts w:ascii="Times New Roman" w:hAnsi="Times New Roman" w:eastAsia="宋体"/>
                <w:sz w:val="24"/>
                <w:szCs w:val="24"/>
                <w:color w:val="000000"/>
                <w:kern w:val="0"/>
              </w:rPr>
              <w:t>名称</w:t>
            </w:r>
          </w:p>
        </w:tc>
        <w:tc>
          <w:tcPr>
            <w:tcW w:w="1987" w:type="dxa"/>
            <w:tcBorders>
              <w:top w:val="single" w:color="000000" w:sz="12" w:space="0"/>
              <w:bottom w:val="single" w:color="000000" w:sz="6" w:space="0"/>
            </w:tcBorders>
          </w:tcPr>
          <w:p>
            <w:pPr>
              <w:spacing w:line="360" w:lineRule="auto"/>
              <w:ind w:firstLineChars="200"/>
              <w:jc w:val="both"/>
              <w:widowControl/>
              <w:rPr>
                <w:rFonts w:ascii="宋体" w:hAnsi="宋体" w:eastAsia="宋体" w:cs="宋体"/>
                <w:kern w:val="0"/>
                <w:sz w:val="24"/>
                <w:szCs w:val="24"/>
              </w:rPr>
            </w:pPr>
            <w:r>
              <w:rPr>
                <w:rFonts w:ascii="Times New Roman" w:hAnsi="Times New Roman" w:eastAsia="宋体"/>
                <w:sz w:val="24"/>
                <w:szCs w:val="24"/>
                <w:color w:val="000000"/>
                <w:kern w:val="0"/>
              </w:rPr>
              <w:t>选项</w:t>
            </w:r>
          </w:p>
        </w:tc>
        <w:tc>
          <w:tcPr>
            <w:tcW w:w="1315" w:type="dxa"/>
            <w:tcBorders>
              <w:top w:val="single" w:color="000000" w:sz="12" w:space="0"/>
              <w:bottom w:val="single" w:color="000000" w:sz="6" w:space="0"/>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频数</w:t>
            </w:r>
          </w:p>
        </w:tc>
        <w:tc>
          <w:tcPr>
            <w:tcW w:w="1501" w:type="dxa"/>
            <w:tcBorders>
              <w:top w:val="single" w:color="000000" w:sz="12" w:space="0"/>
              <w:bottom w:val="single" w:color="000000" w:sz="6" w:space="0"/>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百分比（</w:t>
            </w:r>
            <w:r>
              <w:rPr>
                <w:rFonts w:ascii="Times New Roman" w:hAnsi="Times New Roman" w:eastAsia="宋体"/>
                <w:sz w:val="24"/>
                <w:szCs w:val="24"/>
                <w:color w:val="000000"/>
                <w:kern w:val="0"/>
              </w:rPr>
              <w:t>%</w:t>
            </w:r>
            <w:r>
              <w:rPr>
                <w:rFonts w:ascii="Times New Roman" w:hAnsi="Times New Roman" w:eastAsia="宋体"/>
                <w:sz w:val="24"/>
                <w:szCs w:val="24"/>
                <w:color w:val="000000"/>
                <w:kern w:val="0"/>
              </w:rPr>
              <w:t>）</w:t>
            </w:r>
          </w:p>
        </w:tc>
      </w:tr>
      <w:tr>
        <w:trPr>
          <w:trHeight w:val="313" w:hRule="atLeast"/>
        </w:trPr>
        <w:tc>
          <w:tcPr>
            <w:tcW w:w="3839"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性别</w:t>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男</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88</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46.3</w:t>
            </w:r>
          </w:p>
        </w:tc>
      </w:tr>
      <w:tr>
        <w:trPr>
          <w:trHeight w:val="290" w:hRule="atLeast"/>
        </w:trPr>
        <w:tc>
          <w:tcPr>
            <w:tcW w:w="3839" w:type="dxa"/>
            <w:tcBorders/>
          </w:tcPr>
          <w:p>
            <w:pPr>
              <w:pStyle w:val="Normal"/>
              <w:widowControl/>
              <w:snapToGrid w:val="false"/>
              <w:jc w:val="center"/>
              <w:rPr>
                <w:rFonts w:ascii="宋体;SimSun" w:hAnsi="宋体;SimSun" w:cs="宋体;SimSun"/>
                <w:color w:val="000000"/>
                <w:kern w:val="0"/>
                <w:szCs w:val="21"/>
              </w:rPr>
            </w:pPr>
            <w:r>
              <w:rPr>
                <w:rFonts w:ascii="宋体;SimSun" w:hAnsi="宋体;SimSun" w:cs="宋体;SimSun"/>
                <w:color w:val="000000"/>
                <w:kern w:val="0"/>
                <w:szCs w:val="21"/>
              </w:rPr>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女</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102</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53.7</w:t>
            </w:r>
          </w:p>
        </w:tc>
      </w:tr>
      <w:tr>
        <w:trPr>
          <w:trHeight w:val="290" w:hRule="atLeast"/>
        </w:trPr>
        <w:tc>
          <w:tcPr>
            <w:tcW w:w="3839"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年龄</w:t>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小于</w:t>
            </w:r>
            <w:r>
              <w:rPr>
                <w:rFonts w:ascii="Times New Roman" w:hAnsi="Times New Roman" w:eastAsia="宋体"/>
                <w:sz w:val="24"/>
                <w:szCs w:val="24"/>
                <w:color w:val="000000"/>
                <w:kern w:val="0"/>
              </w:rPr>
              <w:t>40</w:t>
            </w:r>
            <w:r>
              <w:rPr>
                <w:rFonts w:ascii="Times New Roman" w:hAnsi="Times New Roman" w:eastAsia="宋体"/>
                <w:sz w:val="24"/>
                <w:szCs w:val="24"/>
                <w:color w:val="000000"/>
                <w:kern w:val="0"/>
              </w:rPr>
              <w:t>岁</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33</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17.4</w:t>
            </w:r>
          </w:p>
        </w:tc>
      </w:tr>
      <w:tr>
        <w:trPr>
          <w:trHeight w:val="313" w:hRule="atLeast"/>
        </w:trPr>
        <w:tc>
          <w:tcPr>
            <w:tcW w:w="3839" w:type="dxa"/>
            <w:tcBorders/>
          </w:tcPr>
          <w:p>
            <w:pPr>
              <w:pStyle w:val="Normal"/>
              <w:widowControl/>
              <w:snapToGrid w:val="false"/>
              <w:jc w:val="center"/>
              <w:rPr>
                <w:rFonts w:ascii="宋体;SimSun" w:hAnsi="宋体;SimSun" w:cs="宋体;SimSun"/>
                <w:color w:val="000000"/>
                <w:kern w:val="0"/>
                <w:szCs w:val="21"/>
              </w:rPr>
            </w:pPr>
            <w:r>
              <w:rPr>
                <w:rFonts w:ascii="宋体;SimSun" w:hAnsi="宋体;SimSun" w:cs="宋体;SimSun"/>
                <w:color w:val="000000"/>
                <w:kern w:val="0"/>
                <w:szCs w:val="21"/>
              </w:rPr>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40-60</w:t>
            </w:r>
            <w:r>
              <w:rPr>
                <w:rFonts w:ascii="Times New Roman" w:hAnsi="Times New Roman" w:eastAsia="宋体"/>
                <w:sz w:val="24"/>
                <w:szCs w:val="24"/>
                <w:color w:val="000000"/>
                <w:kern w:val="0"/>
              </w:rPr>
              <w:t>岁</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54</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28.4</w:t>
            </w:r>
          </w:p>
        </w:tc>
      </w:tr>
      <w:tr>
        <w:trPr>
          <w:trHeight w:val="313" w:hRule="atLeast"/>
        </w:trPr>
        <w:tc>
          <w:tcPr>
            <w:tcW w:w="3839" w:type="dxa"/>
            <w:tcBorders/>
          </w:tcPr>
          <w:p>
            <w:pPr>
              <w:pStyle w:val="Normal"/>
              <w:widowControl/>
              <w:snapToGrid w:val="false"/>
              <w:jc w:val="center"/>
              <w:rPr>
                <w:rFonts w:ascii="宋体;SimSun" w:hAnsi="宋体;SimSun" w:cs="宋体;SimSun"/>
                <w:color w:val="000000"/>
                <w:kern w:val="0"/>
                <w:szCs w:val="21"/>
              </w:rPr>
            </w:pPr>
            <w:r>
              <w:rPr>
                <w:rFonts w:ascii="宋体;SimSun" w:hAnsi="宋体;SimSun" w:cs="宋体;SimSun"/>
                <w:color w:val="000000"/>
                <w:kern w:val="0"/>
                <w:szCs w:val="21"/>
              </w:rPr>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w:t>
            </w:r>
            <w:r>
              <w:rPr>
                <w:rFonts w:ascii="Times New Roman" w:hAnsi="Times New Roman" w:eastAsia="宋体"/>
                <w:sz w:val="24"/>
                <w:szCs w:val="24"/>
                <w:color w:val="000000"/>
                <w:kern w:val="0"/>
              </w:rPr>
              <w:t>60</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103</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54.2</w:t>
            </w:r>
          </w:p>
        </w:tc>
      </w:tr>
      <w:tr>
        <w:trPr>
          <w:trHeight w:val="283" w:hRule="atLeast"/>
        </w:trPr>
        <w:tc>
          <w:tcPr>
            <w:tcW w:w="3839" w:type="dxa"/>
            <w:tcBorders>
              <w:bottom w:val="single" w:color="000000" w:sz="12" w:space="0"/>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职业</w:t>
            </w:r>
          </w:p>
        </w:tc>
        <w:tc>
          <w:tcPr>
            <w:tcW w:w="1987" w:type="dxa"/>
            <w:tcBorders>
              <w:bottom w:val="single" w:color="000000" w:sz="12" w:space="0"/>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脑力劳动</w:t>
            </w:r>
          </w:p>
        </w:tc>
        <w:tc>
          <w:tcPr>
            <w:tcW w:w="1315" w:type="dxa"/>
            <w:tcBorders>
              <w:bottom w:val="single" w:color="000000" w:sz="12" w:space="0"/>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37</w:t>
            </w:r>
          </w:p>
        </w:tc>
        <w:tc>
          <w:tcPr>
            <w:tcW w:w="1501" w:type="dxa"/>
            <w:tcBorders>
              <w:bottom w:val="single" w:color="000000" w:sz="12" w:space="0"/>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19.5</w:t>
            </w:r>
          </w:p>
        </w:tc>
      </w:tr>
    </w:tbl>
    <w:p>
      <w:pPr>
        <w:spacing w:line="360" w:lineRule="auto"/>
        <w:ind w:firstLineChars="0"/>
        <w:jc w:val="center"/>
        <w:tabs>
          <w:tab w:val="clear" w:pos="420"/>
          <w:tab w:val="left" w:leader="none" w:pos="3289"/>
        </w:tabs>
        <w:rPr>
          <w:rFonts w:ascii="宋体" w:hAnsi="宋体" w:eastAsia="宋体" w:cs="宋体"/>
          <w:sz w:val="24"/>
          <w:szCs w:val="24"/>
        </w:rPr>
      </w:pPr>
      <w:r>
        <w:rPr>
          <w:rFonts w:ascii="Times New Roman" w:hAnsi="Times New Roman" w:eastAsia="宋体"/>
          <w:sz w:val="21"/>
          <w:szCs w:val="21"/>
        </w:rPr>
        <w:t>续表</w:t>
      </w:r>
      <w:r>
        <w:rPr>
          <w:rFonts w:ascii="Times New Roman" w:hAnsi="Times New Roman" w:eastAsia="宋体"/>
          <w:sz w:val="21"/>
          <w:szCs w:val="21"/>
        </w:rPr>
        <w:t xml:space="preserve">3-1 </w:t>
      </w:r>
      <w:r>
        <w:rPr>
          <w:rFonts w:ascii="Times New Roman" w:hAnsi="Times New Roman" w:eastAsia="宋体"/>
          <w:sz w:val="21"/>
          <w:szCs w:val="21"/>
        </w:rPr>
        <w:t>社区</w:t>
      </w:r>
      <w:r>
        <w:rPr>
          <w:rFonts w:ascii="Times New Roman" w:hAnsi="Times New Roman" w:eastAsia="宋体"/>
          <w:sz w:val="21"/>
          <w:szCs w:val="21"/>
        </w:rPr>
        <w:t>2</w:t>
      </w:r>
      <w:r>
        <w:rPr>
          <w:rFonts w:ascii="Times New Roman" w:hAnsi="Times New Roman" w:eastAsia="宋体"/>
          <w:sz w:val="21"/>
          <w:szCs w:val="21"/>
        </w:rPr>
        <w:t>型糖尿病患者基本特征分布（</w:t>
      </w:r>
      <w:r>
        <w:rPr>
          <w:rFonts w:ascii="Times New Roman" w:hAnsi="Times New Roman" w:eastAsia="宋体"/>
          <w:sz w:val="21"/>
          <w:szCs w:val="21"/>
        </w:rPr>
        <w:t>n=190</w:t>
      </w:r>
      <w:r>
        <w:rPr>
          <w:rFonts w:ascii="Times New Roman" w:hAnsi="Times New Roman" w:eastAsia="宋体"/>
          <w:sz w:val="21"/>
          <w:szCs w:val="21"/>
        </w:rPr>
        <w:t>）</w:t>
      </w:r>
    </w:p>
    <w:tbl>
      <w:tblPr>
        <w:tblW w:w="8642" w:type="dxa"/>
        <w:jc w:val="center"/>
        <w:tblInd w:w="0" w:type="dxa"/>
        <w:tblLayout w:type="fixed"/>
        <w:tblCellMar>
          <w:top w:w="0" w:type="dxa"/>
          <w:start w:w="108" w:type="dxa"/>
          <w:bottom w:w="0" w:type="dxa"/>
          <w:end w:w="108" w:type="dxa"/>
        </w:tblCellMar>
      </w:tblPr>
      <w:tblGrid>
        <w:gridCol w:w="3839"/>
        <w:gridCol w:w="1987"/>
        <w:gridCol w:w="1315"/>
        <w:gridCol w:w="1501"/>
      </w:tblGrid>
      <w:tr>
        <w:trPr>
          <w:trHeight w:val="283" w:hRule="atLeast"/>
        </w:trPr>
        <w:tc>
          <w:tcPr>
            <w:tcW w:w="3839" w:type="dxa"/>
            <w:tcBorders>
              <w:top w:val="single" w:color="000000" w:sz="12" w:space="0"/>
              <w:bottom w:val="single" w:color="000000" w:sz="6" w:space="0"/>
            </w:tcBorders>
          </w:tcPr>
          <w:p>
            <w:pPr>
              <w:spacing w:line="360" w:lineRule="auto"/>
              <w:ind w:firstLineChars="200"/>
              <w:jc w:val="both"/>
              <w:widowControl/>
              <w:rPr>
                <w:rFonts w:ascii="宋体" w:hAnsi="宋体" w:eastAsia="宋体" w:cs="宋体"/>
                <w:kern w:val="0"/>
                <w:sz w:val="24"/>
                <w:szCs w:val="24"/>
              </w:rPr>
            </w:pPr>
            <w:r>
              <w:rPr>
                <w:rFonts w:ascii="Times New Roman" w:hAnsi="Times New Roman" w:eastAsia="宋体"/>
                <w:sz w:val="24"/>
                <w:szCs w:val="24"/>
                <w:color w:val="000000"/>
                <w:kern w:val="0"/>
              </w:rPr>
              <w:t>名称</w:t>
            </w:r>
          </w:p>
        </w:tc>
        <w:tc>
          <w:tcPr>
            <w:tcW w:w="1987" w:type="dxa"/>
            <w:tcBorders>
              <w:top w:val="single" w:color="000000" w:sz="12" w:space="0"/>
              <w:bottom w:val="single" w:color="000000" w:sz="6" w:space="0"/>
            </w:tcBorders>
          </w:tcPr>
          <w:p>
            <w:pPr>
              <w:spacing w:line="360" w:lineRule="auto"/>
              <w:ind w:firstLineChars="200"/>
              <w:jc w:val="both"/>
              <w:widowControl/>
              <w:rPr>
                <w:rFonts w:ascii="宋体" w:hAnsi="宋体" w:eastAsia="宋体" w:cs="宋体"/>
                <w:kern w:val="0"/>
                <w:sz w:val="24"/>
                <w:szCs w:val="24"/>
              </w:rPr>
            </w:pPr>
            <w:r>
              <w:rPr>
                <w:rFonts w:ascii="Times New Roman" w:hAnsi="Times New Roman" w:eastAsia="宋体"/>
                <w:sz w:val="24"/>
                <w:szCs w:val="24"/>
                <w:color w:val="000000"/>
                <w:kern w:val="0"/>
              </w:rPr>
              <w:t>选项</w:t>
            </w:r>
          </w:p>
        </w:tc>
        <w:tc>
          <w:tcPr>
            <w:tcW w:w="1315" w:type="dxa"/>
            <w:tcBorders>
              <w:top w:val="single" w:color="000000" w:sz="12" w:space="0"/>
              <w:bottom w:val="single" w:color="000000" w:sz="6" w:space="0"/>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频数</w:t>
            </w:r>
          </w:p>
        </w:tc>
        <w:tc>
          <w:tcPr>
            <w:tcW w:w="1501" w:type="dxa"/>
            <w:tcBorders>
              <w:top w:val="single" w:color="000000" w:sz="12" w:space="0"/>
              <w:bottom w:val="single" w:color="000000" w:sz="6" w:space="0"/>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百分比（</w:t>
            </w:r>
            <w:r>
              <w:rPr>
                <w:rFonts w:ascii="Times New Roman" w:hAnsi="Times New Roman" w:eastAsia="宋体"/>
                <w:sz w:val="24"/>
                <w:szCs w:val="24"/>
                <w:color w:val="000000"/>
                <w:kern w:val="0"/>
              </w:rPr>
              <w:t>%</w:t>
            </w:r>
            <w:r>
              <w:rPr>
                <w:rFonts w:ascii="Times New Roman" w:hAnsi="Times New Roman" w:eastAsia="宋体"/>
                <w:sz w:val="24"/>
                <w:szCs w:val="24"/>
                <w:color w:val="000000"/>
                <w:kern w:val="0"/>
              </w:rPr>
              <w:t>）</w:t>
            </w:r>
          </w:p>
        </w:tc>
      </w:tr>
      <w:tr>
        <w:trPr>
          <w:trHeight w:val="283" w:hRule="atLeast"/>
        </w:trPr>
        <w:tc>
          <w:tcPr>
            <w:tcW w:w="3839" w:type="dxa"/>
            <w:tcBorders/>
          </w:tcPr>
          <w:p>
            <w:pPr>
              <w:pStyle w:val="Normal"/>
              <w:widowControl/>
              <w:snapToGrid w:val="false"/>
              <w:rPr>
                <w:rFonts w:ascii="宋体;SimSun" w:hAnsi="宋体;SimSun" w:cs="宋体;SimSun"/>
                <w:color w:val="000000"/>
                <w:kern w:val="0"/>
                <w:szCs w:val="21"/>
              </w:rPr>
            </w:pPr>
            <w:r>
              <w:rPr>
                <w:rFonts w:ascii="宋体;SimSun" w:hAnsi="宋体;SimSun" w:cs="宋体;SimSun"/>
                <w:color w:val="000000"/>
                <w:kern w:val="0"/>
                <w:szCs w:val="21"/>
              </w:rPr>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体力劳动</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32</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16.8</w:t>
            </w:r>
          </w:p>
        </w:tc>
      </w:tr>
      <w:tr>
        <w:trPr>
          <w:trHeight w:val="283" w:hRule="atLeast"/>
        </w:trPr>
        <w:tc>
          <w:tcPr>
            <w:tcW w:w="3839" w:type="dxa"/>
            <w:tcBorders/>
          </w:tcPr>
          <w:p>
            <w:pPr>
              <w:pStyle w:val="Normal"/>
              <w:widowControl/>
              <w:snapToGrid w:val="false"/>
              <w:jc w:val="center"/>
              <w:rPr>
                <w:rFonts w:ascii="宋体;SimSun" w:hAnsi="宋体;SimSun" w:cs="宋体;SimSun"/>
                <w:color w:val="000000"/>
                <w:kern w:val="0"/>
                <w:szCs w:val="21"/>
              </w:rPr>
            </w:pPr>
            <w:r>
              <w:rPr>
                <w:rFonts w:ascii="宋体;SimSun" w:hAnsi="宋体;SimSun" w:cs="宋体;SimSun"/>
                <w:color w:val="000000"/>
                <w:kern w:val="0"/>
                <w:szCs w:val="21"/>
              </w:rPr>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无业及退休</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121</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63.7</w:t>
            </w:r>
          </w:p>
        </w:tc>
      </w:tr>
      <w:tr>
        <w:trPr>
          <w:trHeight w:val="283" w:hRule="atLeast"/>
        </w:trPr>
        <w:tc>
          <w:tcPr>
            <w:tcW w:w="3839"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居住地</w:t>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农村</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91</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47.9</w:t>
            </w:r>
          </w:p>
        </w:tc>
      </w:tr>
      <w:tr>
        <w:trPr>
          <w:trHeight w:val="283" w:hRule="atLeast"/>
        </w:trPr>
        <w:tc>
          <w:tcPr>
            <w:tcW w:w="3839" w:type="dxa"/>
            <w:tcBorders/>
          </w:tcPr>
          <w:p>
            <w:pPr>
              <w:pStyle w:val="Normal"/>
              <w:widowControl/>
              <w:snapToGrid w:val="false"/>
              <w:jc w:val="center"/>
              <w:rPr>
                <w:rFonts w:ascii="宋体;SimSun" w:hAnsi="宋体;SimSun" w:cs="宋体;SimSun"/>
                <w:color w:val="000000"/>
                <w:kern w:val="0"/>
                <w:szCs w:val="21"/>
              </w:rPr>
            </w:pPr>
            <w:r>
              <w:rPr>
                <w:rFonts w:ascii="宋体;SimSun" w:hAnsi="宋体;SimSun" w:cs="宋体;SimSun"/>
                <w:color w:val="000000"/>
                <w:kern w:val="0"/>
                <w:szCs w:val="21"/>
              </w:rPr>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城镇</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99</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52.1</w:t>
            </w:r>
          </w:p>
        </w:tc>
      </w:tr>
      <w:tr>
        <w:trPr>
          <w:trHeight w:val="283" w:hRule="atLeast"/>
        </w:trPr>
        <w:tc>
          <w:tcPr>
            <w:tcW w:w="3839"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文化程度</w:t>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初中及以下</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95</w:t>
            </w:r>
          </w:p>
        </w:tc>
        <w:tc>
          <w:tcPr>
            <w:tcW w:w="1501"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50</w:t>
            </w:r>
          </w:p>
        </w:tc>
      </w:tr>
      <w:tr>
        <w:trPr>
          <w:trHeight w:val="283" w:hRule="atLeast"/>
        </w:trPr>
        <w:tc>
          <w:tcPr>
            <w:tcW w:w="3839" w:type="dxa"/>
            <w:tcBorders/>
          </w:tcPr>
          <w:p>
            <w:pPr>
              <w:pStyle w:val="Normal"/>
              <w:widowControl/>
              <w:snapToGrid w:val="false"/>
              <w:jc w:val="center"/>
              <w:rPr>
                <w:rFonts w:ascii="宋体;SimSun" w:hAnsi="宋体;SimSun" w:cs="宋体;SimSun"/>
                <w:color w:val="000000"/>
                <w:kern w:val="0"/>
                <w:szCs w:val="21"/>
              </w:rPr>
            </w:pPr>
            <w:r>
              <w:rPr>
                <w:rFonts w:ascii="宋体;SimSun" w:hAnsi="宋体;SimSun" w:cs="宋体;SimSun"/>
                <w:color w:val="000000"/>
                <w:kern w:val="0"/>
                <w:szCs w:val="21"/>
              </w:rPr>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中专</w:t>
            </w:r>
            <w:r>
              <w:rPr>
                <w:rFonts w:ascii="Times New Roman" w:hAnsi="Times New Roman" w:eastAsia="宋体"/>
                <w:sz w:val="24"/>
                <w:szCs w:val="24"/>
                <w:color w:val="000000"/>
                <w:kern w:val="0"/>
              </w:rPr>
              <w:t>/</w:t>
            </w:r>
            <w:r>
              <w:rPr>
                <w:rFonts w:ascii="Times New Roman" w:hAnsi="Times New Roman" w:eastAsia="宋体"/>
                <w:sz w:val="24"/>
                <w:szCs w:val="24"/>
                <w:color w:val="000000"/>
                <w:kern w:val="0"/>
              </w:rPr>
              <w:t>高中</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57</w:t>
            </w:r>
          </w:p>
        </w:tc>
        <w:tc>
          <w:tcPr>
            <w:tcW w:w="1501"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30</w:t>
            </w:r>
          </w:p>
        </w:tc>
      </w:tr>
      <w:tr>
        <w:trPr>
          <w:trHeight w:val="283" w:hRule="atLeast"/>
        </w:trPr>
        <w:tc>
          <w:tcPr>
            <w:tcW w:w="3839" w:type="dxa"/>
            <w:tcBorders/>
          </w:tcPr>
          <w:p>
            <w:pPr>
              <w:pStyle w:val="Normal"/>
              <w:widowControl/>
              <w:snapToGrid w:val="false"/>
              <w:jc w:val="center"/>
              <w:rPr>
                <w:rFonts w:ascii="宋体;SimSun" w:hAnsi="宋体;SimSun" w:cs="宋体;SimSun"/>
                <w:color w:val="000000"/>
                <w:kern w:val="0"/>
                <w:szCs w:val="21"/>
              </w:rPr>
            </w:pPr>
            <w:r>
              <w:rPr>
                <w:rFonts w:ascii="宋体;SimSun" w:hAnsi="宋体;SimSun" w:cs="宋体;SimSun"/>
                <w:color w:val="000000"/>
                <w:kern w:val="0"/>
                <w:szCs w:val="21"/>
              </w:rPr>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大专及以上</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38</w:t>
            </w:r>
          </w:p>
        </w:tc>
        <w:tc>
          <w:tcPr>
            <w:tcW w:w="1501"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20</w:t>
            </w:r>
          </w:p>
        </w:tc>
      </w:tr>
      <w:tr>
        <w:trPr>
          <w:trHeight w:val="283" w:hRule="atLeast"/>
        </w:trPr>
        <w:tc>
          <w:tcPr>
            <w:tcW w:w="3839"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家庭月收入</w:t>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w:t>
            </w:r>
            <w:r>
              <w:rPr>
                <w:rFonts w:ascii="Times New Roman" w:hAnsi="Times New Roman" w:eastAsia="宋体"/>
                <w:sz w:val="24"/>
                <w:szCs w:val="24"/>
                <w:color w:val="000000"/>
                <w:kern w:val="0"/>
              </w:rPr>
              <w:t>3000</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73</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38.4</w:t>
            </w:r>
          </w:p>
        </w:tc>
      </w:tr>
      <w:tr>
        <w:trPr>
          <w:trHeight w:val="283" w:hRule="atLeast"/>
        </w:trPr>
        <w:tc>
          <w:tcPr>
            <w:tcW w:w="3839" w:type="dxa"/>
            <w:tcBorders/>
          </w:tcPr>
          <w:p>
            <w:pPr>
              <w:pStyle w:val="Normal"/>
              <w:widowControl/>
              <w:snapToGrid w:val="false"/>
              <w:jc w:val="center"/>
              <w:rPr>
                <w:rFonts w:ascii="宋体;SimSun" w:hAnsi="宋体;SimSun" w:cs="宋体;SimSun"/>
                <w:color w:val="000000"/>
                <w:kern w:val="0"/>
                <w:szCs w:val="21"/>
              </w:rPr>
            </w:pPr>
            <w:r>
              <w:rPr>
                <w:rFonts w:ascii="宋体;SimSun" w:hAnsi="宋体;SimSun" w:cs="宋体;SimSun"/>
                <w:color w:val="000000"/>
                <w:kern w:val="0"/>
                <w:szCs w:val="21"/>
              </w:rPr>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3000-6000</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55</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28.9</w:t>
            </w:r>
          </w:p>
        </w:tc>
      </w:tr>
      <w:tr>
        <w:trPr>
          <w:trHeight w:val="283" w:hRule="atLeast"/>
        </w:trPr>
        <w:tc>
          <w:tcPr>
            <w:tcW w:w="3839" w:type="dxa"/>
            <w:tcBorders/>
          </w:tcPr>
          <w:p>
            <w:pPr>
              <w:pStyle w:val="Normal"/>
              <w:widowControl/>
              <w:snapToGrid w:val="false"/>
              <w:jc w:val="center"/>
              <w:rPr>
                <w:rFonts w:ascii="宋体;SimSun" w:hAnsi="宋体;SimSun" w:cs="宋体;SimSun"/>
                <w:color w:val="000000"/>
                <w:kern w:val="0"/>
                <w:szCs w:val="21"/>
              </w:rPr>
            </w:pPr>
            <w:r>
              <w:rPr>
                <w:rFonts w:ascii="宋体;SimSun" w:hAnsi="宋体;SimSun" w:cs="宋体;SimSun"/>
                <w:color w:val="000000"/>
                <w:kern w:val="0"/>
                <w:szCs w:val="21"/>
              </w:rPr>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w:t>
            </w:r>
            <w:r>
              <w:rPr>
                <w:rFonts w:ascii="Times New Roman" w:hAnsi="Times New Roman" w:eastAsia="宋体"/>
                <w:sz w:val="24"/>
                <w:szCs w:val="24"/>
                <w:color w:val="000000"/>
                <w:kern w:val="0"/>
              </w:rPr>
              <w:t>6000</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62</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32.6</w:t>
            </w:r>
          </w:p>
        </w:tc>
      </w:tr>
      <w:tr>
        <w:trPr>
          <w:trHeight w:val="283" w:hRule="atLeast"/>
        </w:trPr>
        <w:tc>
          <w:tcPr>
            <w:tcW w:w="3839"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吸烟</w:t>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是</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81</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42.6</w:t>
            </w:r>
          </w:p>
        </w:tc>
      </w:tr>
      <w:tr>
        <w:trPr>
          <w:trHeight w:val="283" w:hRule="atLeast"/>
        </w:trPr>
        <w:tc>
          <w:tcPr>
            <w:tcW w:w="3839" w:type="dxa"/>
            <w:tcBorders/>
          </w:tcPr>
          <w:p>
            <w:pPr>
              <w:pStyle w:val="Normal"/>
              <w:widowControl/>
              <w:snapToGrid w:val="false"/>
              <w:jc w:val="center"/>
              <w:rPr>
                <w:rFonts w:ascii="宋体;SimSun" w:hAnsi="宋体;SimSun" w:cs="宋体;SimSun"/>
                <w:color w:val="000000"/>
                <w:kern w:val="0"/>
                <w:szCs w:val="21"/>
              </w:rPr>
            </w:pPr>
            <w:r>
              <w:rPr>
                <w:rFonts w:ascii="宋体;SimSun" w:hAnsi="宋体;SimSun" w:cs="宋体;SimSun"/>
                <w:color w:val="000000"/>
                <w:kern w:val="0"/>
                <w:szCs w:val="21"/>
              </w:rPr>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否</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109</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57.4</w:t>
            </w:r>
          </w:p>
        </w:tc>
      </w:tr>
      <w:tr>
        <w:trPr>
          <w:trHeight w:val="283" w:hRule="atLeast"/>
        </w:trPr>
        <w:tc>
          <w:tcPr>
            <w:tcW w:w="3839"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饮酒</w:t>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是</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63</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33.2</w:t>
            </w:r>
          </w:p>
        </w:tc>
      </w:tr>
      <w:tr>
        <w:trPr>
          <w:trHeight w:val="283" w:hRule="atLeast"/>
        </w:trPr>
        <w:tc>
          <w:tcPr>
            <w:tcW w:w="3839" w:type="dxa"/>
            <w:tcBorders/>
          </w:tcPr>
          <w:p>
            <w:pPr>
              <w:pStyle w:val="Normal"/>
              <w:widowControl/>
              <w:snapToGrid w:val="false"/>
              <w:jc w:val="center"/>
              <w:rPr>
                <w:rFonts w:ascii="宋体;SimSun" w:hAnsi="宋体;SimSun" w:cs="宋体;SimSun"/>
                <w:color w:val="000000"/>
                <w:kern w:val="0"/>
                <w:szCs w:val="21"/>
              </w:rPr>
            </w:pPr>
            <w:r>
              <w:rPr>
                <w:rFonts w:ascii="宋体;SimSun" w:hAnsi="宋体;SimSun" w:cs="宋体;SimSun"/>
                <w:color w:val="000000"/>
                <w:kern w:val="0"/>
                <w:szCs w:val="21"/>
              </w:rPr>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否</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127</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66.8</w:t>
            </w:r>
          </w:p>
        </w:tc>
      </w:tr>
      <w:tr>
        <w:trPr>
          <w:trHeight w:val="283" w:hRule="atLeast"/>
        </w:trPr>
        <w:tc>
          <w:tcPr>
            <w:tcW w:w="3839"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病程</w:t>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w:t>
            </w:r>
            <w:r>
              <w:rPr>
                <w:rFonts w:ascii="Times New Roman" w:hAnsi="Times New Roman" w:eastAsia="宋体"/>
                <w:sz w:val="24"/>
                <w:szCs w:val="24"/>
                <w:color w:val="000000"/>
                <w:kern w:val="0"/>
              </w:rPr>
              <w:t>3</w:t>
            </w:r>
            <w:r>
              <w:rPr>
                <w:rFonts w:ascii="Times New Roman" w:hAnsi="Times New Roman" w:eastAsia="宋体"/>
                <w:sz w:val="24"/>
                <w:szCs w:val="24"/>
                <w:color w:val="000000"/>
                <w:kern w:val="0"/>
              </w:rPr>
              <w:t>年</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61</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32.1</w:t>
            </w:r>
          </w:p>
        </w:tc>
      </w:tr>
      <w:tr>
        <w:trPr>
          <w:trHeight w:val="283" w:hRule="atLeast"/>
        </w:trPr>
        <w:tc>
          <w:tcPr>
            <w:tcW w:w="3839" w:type="dxa"/>
            <w:tcBorders/>
          </w:tcPr>
          <w:p>
            <w:pPr>
              <w:pStyle w:val="Normal"/>
              <w:widowControl/>
              <w:snapToGrid w:val="false"/>
              <w:jc w:val="center"/>
              <w:rPr>
                <w:rFonts w:ascii="宋体;SimSun" w:hAnsi="宋体;SimSun" w:cs="宋体;SimSun"/>
                <w:color w:val="000000"/>
                <w:kern w:val="0"/>
                <w:szCs w:val="21"/>
              </w:rPr>
            </w:pPr>
            <w:r>
              <w:rPr>
                <w:rFonts w:ascii="宋体;SimSun" w:hAnsi="宋体;SimSun" w:cs="宋体;SimSun"/>
                <w:color w:val="000000"/>
                <w:kern w:val="0"/>
                <w:szCs w:val="21"/>
              </w:rPr>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3-9</w:t>
            </w:r>
            <w:r>
              <w:rPr>
                <w:rFonts w:ascii="Times New Roman" w:hAnsi="Times New Roman" w:eastAsia="宋体"/>
                <w:sz w:val="24"/>
                <w:szCs w:val="24"/>
                <w:color w:val="000000"/>
                <w:kern w:val="0"/>
              </w:rPr>
              <w:t>年</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85</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44.7</w:t>
            </w:r>
          </w:p>
        </w:tc>
      </w:tr>
      <w:tr>
        <w:trPr>
          <w:trHeight w:val="283" w:hRule="atLeast"/>
        </w:trPr>
        <w:tc>
          <w:tcPr>
            <w:tcW w:w="3839" w:type="dxa"/>
            <w:tcBorders/>
          </w:tcPr>
          <w:p>
            <w:pPr>
              <w:pStyle w:val="Normal"/>
              <w:widowControl/>
              <w:snapToGrid w:val="false"/>
              <w:jc w:val="center"/>
              <w:rPr>
                <w:rFonts w:ascii="宋体;SimSun" w:hAnsi="宋体;SimSun" w:cs="宋体;SimSun"/>
                <w:color w:val="000000"/>
                <w:kern w:val="0"/>
                <w:szCs w:val="21"/>
              </w:rPr>
            </w:pPr>
            <w:r>
              <w:rPr>
                <w:rFonts w:ascii="宋体;SimSun" w:hAnsi="宋体;SimSun" w:cs="宋体;SimSun"/>
                <w:color w:val="000000"/>
                <w:kern w:val="0"/>
                <w:szCs w:val="21"/>
              </w:rPr>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w:t>
            </w:r>
            <w:r>
              <w:rPr>
                <w:rFonts w:ascii="Times New Roman" w:hAnsi="Times New Roman" w:eastAsia="宋体"/>
                <w:sz w:val="24"/>
                <w:szCs w:val="24"/>
                <w:color w:val="000000"/>
                <w:kern w:val="0"/>
              </w:rPr>
              <w:t>9</w:t>
            </w:r>
            <w:r>
              <w:rPr>
                <w:rFonts w:ascii="Times New Roman" w:hAnsi="Times New Roman" w:eastAsia="宋体"/>
                <w:sz w:val="24"/>
                <w:szCs w:val="24"/>
                <w:color w:val="000000"/>
                <w:kern w:val="0"/>
              </w:rPr>
              <w:t>年</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44</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23.2</w:t>
            </w:r>
          </w:p>
        </w:tc>
      </w:tr>
      <w:tr>
        <w:trPr>
          <w:trHeight w:val="283" w:hRule="atLeast"/>
        </w:trPr>
        <w:tc>
          <w:tcPr>
            <w:tcW w:w="3839" w:type="dxa"/>
            <w:tcBorders/>
          </w:tcPr>
          <w:p>
            <w:pPr>
              <w:spacing w:line="360" w:lineRule="auto"/>
              <w:ind w:firstLineChars="200"/>
              <w:jc w:val="both"/>
              <w:widowControl/>
              <w:rPr>
                <w:rFonts w:ascii="宋体" w:hAnsi="宋体" w:eastAsia="宋体" w:cs="宋体"/>
                <w:b/>
                <w:bCs/>
                <w:color w:val="010205"/>
                <w:kern w:val="0"/>
                <w:sz w:val="24"/>
                <w:szCs w:val="24"/>
              </w:rPr>
            </w:pPr>
            <w:r>
              <w:rPr>
                <w:rFonts w:ascii="Times New Roman" w:hAnsi="Times New Roman" w:eastAsia="宋体"/>
                <w:sz w:val="24"/>
                <w:szCs w:val="24"/>
                <w:color w:val="000000"/>
                <w:kern w:val="0"/>
              </w:rPr>
              <w:t>空腹血糖（</w:t>
            </w:r>
            <w:r>
              <w:rPr>
                <w:rFonts w:ascii="Times New Roman" w:hAnsi="Times New Roman" w:eastAsia="宋体"/>
                <w:sz w:val="24"/>
                <w:szCs w:val="24"/>
                <w:color w:val="000000"/>
                <w:kern w:val="0"/>
              </w:rPr>
              <w:t>FBG</w:t>
            </w:r>
            <w:r>
              <w:rPr>
                <w:rFonts w:ascii="Times New Roman" w:hAnsi="Times New Roman" w:eastAsia="宋体"/>
                <w:sz w:val="24"/>
                <w:szCs w:val="24"/>
                <w:color w:val="000000"/>
                <w:kern w:val="0"/>
              </w:rPr>
              <w:t>）</w:t>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w:t>
            </w:r>
            <w:r>
              <w:rPr>
                <w:rFonts w:ascii="Times New Roman" w:hAnsi="Times New Roman" w:eastAsia="宋体"/>
                <w:sz w:val="24"/>
                <w:szCs w:val="24"/>
                <w:color w:val="000000"/>
                <w:kern w:val="0"/>
              </w:rPr>
              <w:t>7</w:t>
            </w:r>
          </w:p>
        </w:tc>
        <w:tc>
          <w:tcPr>
            <w:tcW w:w="1315" w:type="dxa"/>
            <w:tcBorders/>
          </w:tcPr>
          <w:p>
            <w:pPr>
              <w:spacing w:line="360" w:lineRule="auto"/>
              <w:ind w:firstLineChars="200"/>
              <w:jc w:val="both"/>
              <w:widowControl/>
              <w:rPr>
                <w:rFonts w:ascii="宋体" w:hAnsi="宋体" w:eastAsia="宋体" w:cs="宋体"/>
                <w:sz w:val="24"/>
                <w:szCs w:val="24"/>
              </w:rPr>
            </w:pPr>
            <w:r>
              <w:rPr>
                <w:rFonts w:ascii="Times New Roman" w:hAnsi="Times New Roman" w:eastAsia="宋体"/>
                <w:sz w:val="24"/>
                <w:szCs w:val="24"/>
                <w:color w:val="000000"/>
                <w:kern w:val="0"/>
              </w:rPr>
              <w:t>106</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55.8</w:t>
            </w:r>
          </w:p>
        </w:tc>
      </w:tr>
      <w:tr>
        <w:trPr>
          <w:trHeight w:val="283" w:hRule="atLeast"/>
        </w:trPr>
        <w:tc>
          <w:tcPr>
            <w:tcW w:w="3839" w:type="dxa"/>
            <w:tcBorders/>
          </w:tcPr>
          <w:p>
            <w:pPr>
              <w:pStyle w:val="Normal"/>
              <w:widowControl/>
              <w:snapToGrid w:val="false"/>
              <w:jc w:val="center"/>
              <w:rPr>
                <w:rFonts w:ascii="宋体;SimSun" w:hAnsi="宋体;SimSun" w:cs="宋体;SimSun"/>
                <w:color w:val="000000"/>
                <w:kern w:val="0"/>
                <w:szCs w:val="21"/>
              </w:rPr>
            </w:pPr>
            <w:r>
              <w:rPr>
                <w:rFonts w:ascii="宋体;SimSun" w:hAnsi="宋体;SimSun" w:cs="宋体;SimSun"/>
                <w:color w:val="000000"/>
                <w:kern w:val="0"/>
                <w:szCs w:val="21"/>
              </w:rPr>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w:t>
            </w:r>
            <w:r>
              <w:rPr>
                <w:rFonts w:ascii="Times New Roman" w:hAnsi="Times New Roman" w:eastAsia="宋体"/>
                <w:sz w:val="24"/>
                <w:szCs w:val="24"/>
                <w:color w:val="000000"/>
                <w:kern w:val="0"/>
              </w:rPr>
              <w:t>7</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84</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44.2</w:t>
            </w:r>
          </w:p>
        </w:tc>
      </w:tr>
      <w:tr>
        <w:trPr>
          <w:trHeight w:val="283" w:hRule="atLeast"/>
        </w:trPr>
        <w:tc>
          <w:tcPr>
            <w:tcW w:w="3839"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糖化血红蛋白（</w:t>
            </w:r>
            <w:r>
              <w:rPr>
                <w:rFonts w:ascii="Times New Roman" w:hAnsi="Times New Roman" w:eastAsia="宋体"/>
                <w:sz w:val="24"/>
                <w:szCs w:val="24"/>
                <w:color w:val="000000"/>
                <w:kern w:val="0"/>
              </w:rPr>
              <w:t xml:space="preserve">HbA1c </w:t>
            </w:r>
            <w:r>
              <w:rPr>
                <w:rFonts w:ascii="Times New Roman" w:hAnsi="Times New Roman" w:eastAsia="宋体"/>
                <w:sz w:val="24"/>
                <w:szCs w:val="24"/>
                <w:color w:val="000000"/>
                <w:kern w:val="0"/>
              </w:rPr>
              <w:t>）水平</w:t>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w:t>
            </w:r>
            <w:r>
              <w:rPr>
                <w:rFonts w:ascii="Times New Roman" w:hAnsi="Times New Roman" w:eastAsia="宋体"/>
                <w:sz w:val="24"/>
                <w:szCs w:val="24"/>
                <w:color w:val="000000"/>
                <w:kern w:val="0"/>
              </w:rPr>
              <w:t>6.5</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50</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26.3</w:t>
            </w:r>
          </w:p>
        </w:tc>
      </w:tr>
      <w:tr>
        <w:trPr>
          <w:trHeight w:val="283" w:hRule="atLeast"/>
        </w:trPr>
        <w:tc>
          <w:tcPr>
            <w:tcW w:w="3839" w:type="dxa"/>
            <w:tcBorders/>
          </w:tcPr>
          <w:p>
            <w:pPr>
              <w:pStyle w:val="Normal"/>
              <w:widowControl/>
              <w:snapToGrid w:val="false"/>
              <w:jc w:val="center"/>
              <w:rPr>
                <w:rFonts w:ascii="宋体;SimSun" w:hAnsi="宋体;SimSun" w:cs="宋体;SimSun"/>
                <w:color w:val="000000"/>
                <w:kern w:val="0"/>
                <w:szCs w:val="21"/>
              </w:rPr>
            </w:pPr>
            <w:r>
              <w:rPr>
                <w:rFonts w:ascii="宋体;SimSun" w:hAnsi="宋体;SimSun" w:cs="宋体;SimSun"/>
                <w:color w:val="000000"/>
                <w:kern w:val="0"/>
                <w:szCs w:val="21"/>
              </w:rPr>
            </w:r>
          </w:p>
        </w:tc>
        <w:tc>
          <w:tcPr>
            <w:tcW w:w="1987"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6.5-7.5</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103</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54.2</w:t>
            </w:r>
          </w:p>
        </w:tc>
      </w:tr>
      <w:tr>
        <w:trPr>
          <w:trHeight w:val="283" w:hRule="atLeast"/>
        </w:trPr>
        <w:tc>
          <w:tcPr>
            <w:tcW w:w="3839" w:type="dxa"/>
            <w:tcBorders/>
          </w:tcPr>
          <w:p>
            <w:pPr>
              <w:pStyle w:val="Normal"/>
              <w:widowControl/>
              <w:snapToGrid w:val="false"/>
              <w:jc w:val="center"/>
              <w:rPr>
                <w:rFonts w:ascii="宋体;SimSun" w:hAnsi="宋体;SimSun" w:cs="宋体;SimSun"/>
                <w:color w:val="000000"/>
                <w:kern w:val="0"/>
                <w:szCs w:val="21"/>
              </w:rPr>
            </w:pPr>
            <w:r>
              <w:rPr>
                <w:rFonts w:ascii="宋体;SimSun" w:hAnsi="宋体;SimSun" w:cs="宋体;SimSun"/>
                <w:color w:val="000000"/>
                <w:kern w:val="0"/>
                <w:szCs w:val="21"/>
              </w:rPr>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w:t>
            </w:r>
            <w:r>
              <w:rPr>
                <w:rFonts w:ascii="Times New Roman" w:hAnsi="Times New Roman" w:eastAsia="宋体"/>
                <w:sz w:val="24"/>
                <w:szCs w:val="24"/>
                <w:color w:val="000000"/>
                <w:kern w:val="0"/>
              </w:rPr>
              <w:t>7.5</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37</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19.5</w:t>
            </w:r>
          </w:p>
        </w:tc>
      </w:tr>
      <w:tr>
        <w:trPr>
          <w:trHeight w:val="283" w:hRule="atLeast"/>
        </w:trPr>
        <w:tc>
          <w:tcPr>
            <w:tcW w:w="3839"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并发症</w:t>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是</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125</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65.8</w:t>
            </w:r>
          </w:p>
        </w:tc>
      </w:tr>
      <w:tr>
        <w:trPr>
          <w:trHeight w:val="283" w:hRule="atLeast"/>
        </w:trPr>
        <w:tc>
          <w:tcPr>
            <w:tcW w:w="3839" w:type="dxa"/>
            <w:tcBorders/>
          </w:tcPr>
          <w:p>
            <w:pPr>
              <w:pStyle w:val="Normal"/>
              <w:widowControl/>
              <w:snapToGrid w:val="false"/>
              <w:jc w:val="center"/>
              <w:rPr>
                <w:rFonts w:ascii="宋体;SimSun" w:hAnsi="宋体;SimSun" w:cs="宋体;SimSun"/>
                <w:color w:val="000000"/>
                <w:kern w:val="0"/>
                <w:szCs w:val="21"/>
              </w:rPr>
            </w:pPr>
            <w:r>
              <w:rPr>
                <w:rFonts w:ascii="宋体;SimSun" w:hAnsi="宋体;SimSun" w:cs="宋体;SimSun"/>
                <w:color w:val="000000"/>
                <w:kern w:val="0"/>
                <w:szCs w:val="21"/>
              </w:rPr>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否</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65</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34.2</w:t>
            </w:r>
          </w:p>
        </w:tc>
      </w:tr>
      <w:tr>
        <w:trPr>
          <w:trHeight w:val="283" w:hRule="atLeast"/>
        </w:trPr>
        <w:tc>
          <w:tcPr>
            <w:tcW w:w="3839"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家族史</w:t>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是</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71</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37.4</w:t>
            </w:r>
          </w:p>
        </w:tc>
      </w:tr>
      <w:tr>
        <w:trPr>
          <w:trHeight w:val="283" w:hRule="atLeast"/>
        </w:trPr>
        <w:tc>
          <w:tcPr>
            <w:tcW w:w="3839" w:type="dxa"/>
            <w:tcBorders/>
          </w:tcPr>
          <w:p>
            <w:pPr>
              <w:pStyle w:val="Normal"/>
              <w:widowControl/>
              <w:snapToGrid w:val="false"/>
              <w:jc w:val="center"/>
              <w:rPr>
                <w:rFonts w:ascii="宋体;SimSun" w:hAnsi="宋体;SimSun" w:cs="宋体;SimSun"/>
                <w:color w:val="000000"/>
                <w:kern w:val="0"/>
                <w:szCs w:val="21"/>
              </w:rPr>
            </w:pPr>
            <w:r>
              <w:rPr>
                <w:rFonts w:ascii="宋体;SimSun" w:hAnsi="宋体;SimSun" w:cs="宋体;SimSun"/>
                <w:color w:val="000000"/>
                <w:kern w:val="0"/>
                <w:szCs w:val="21"/>
              </w:rPr>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否</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119</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62.5</w:t>
            </w:r>
          </w:p>
        </w:tc>
      </w:tr>
      <w:tr>
        <w:trPr>
          <w:trHeight w:val="283" w:hRule="atLeast"/>
        </w:trPr>
        <w:tc>
          <w:tcPr>
            <w:tcW w:w="3839"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特殊饮食习惯</w:t>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是</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80</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42.1</w:t>
            </w:r>
          </w:p>
        </w:tc>
      </w:tr>
      <w:tr>
        <w:trPr>
          <w:trHeight w:val="283" w:hRule="atLeast"/>
        </w:trPr>
        <w:tc>
          <w:tcPr>
            <w:tcW w:w="3839" w:type="dxa"/>
            <w:tcBorders/>
          </w:tcPr>
          <w:p>
            <w:pPr>
              <w:pStyle w:val="Normal"/>
              <w:widowControl/>
              <w:snapToGrid w:val="false"/>
              <w:jc w:val="center"/>
              <w:rPr>
                <w:rFonts w:ascii="宋体;SimSun" w:hAnsi="宋体;SimSun" w:cs="宋体;SimSun"/>
                <w:color w:val="000000"/>
                <w:kern w:val="0"/>
                <w:szCs w:val="21"/>
              </w:rPr>
            </w:pPr>
            <w:r>
              <w:rPr>
                <w:rFonts w:ascii="宋体;SimSun" w:hAnsi="宋体;SimSun" w:cs="宋体;SimSun"/>
                <w:color w:val="000000"/>
                <w:kern w:val="0"/>
                <w:szCs w:val="21"/>
              </w:rPr>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否</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110</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57.9</w:t>
            </w:r>
          </w:p>
        </w:tc>
      </w:tr>
      <w:tr>
        <w:trPr>
          <w:trHeight w:val="283" w:hRule="atLeast"/>
        </w:trPr>
        <w:tc>
          <w:tcPr>
            <w:tcW w:w="3839"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接受过健康教育</w:t>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是</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65</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34.2</w:t>
            </w:r>
          </w:p>
        </w:tc>
      </w:tr>
      <w:tr>
        <w:trPr>
          <w:trHeight w:val="283" w:hRule="atLeast"/>
        </w:trPr>
        <w:tc>
          <w:tcPr>
            <w:tcW w:w="3839" w:type="dxa"/>
            <w:tcBorders>
              <w:bottom w:val="single" w:color="000000" w:sz="12" w:space="0"/>
            </w:tcBorders>
          </w:tcPr>
          <w:p>
            <w:pPr>
              <w:pStyle w:val="Normal"/>
              <w:widowControl/>
              <w:snapToGrid w:val="false"/>
              <w:jc w:val="center"/>
              <w:rPr>
                <w:rFonts w:ascii="宋体;SimSun" w:hAnsi="宋体;SimSun" w:cs="宋体;SimSun"/>
                <w:color w:val="000000"/>
                <w:kern w:val="0"/>
                <w:szCs w:val="21"/>
              </w:rPr>
            </w:pPr>
            <w:r>
              <w:rPr>
                <w:rFonts w:ascii="宋体;SimSun" w:hAnsi="宋体;SimSun" w:cs="宋体;SimSun"/>
                <w:color w:val="000000"/>
                <w:kern w:val="0"/>
                <w:szCs w:val="21"/>
              </w:rPr>
            </w:r>
          </w:p>
        </w:tc>
        <w:tc>
          <w:tcPr>
            <w:tcW w:w="1987" w:type="dxa"/>
            <w:tcBorders>
              <w:bottom w:val="single" w:color="000000" w:sz="12" w:space="0"/>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否</w:t>
            </w:r>
          </w:p>
        </w:tc>
        <w:tc>
          <w:tcPr>
            <w:tcW w:w="1315" w:type="dxa"/>
            <w:tcBorders>
              <w:bottom w:val="single" w:color="000000" w:sz="12" w:space="0"/>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125</w:t>
            </w:r>
          </w:p>
        </w:tc>
        <w:tc>
          <w:tcPr>
            <w:tcW w:w="1501" w:type="dxa"/>
            <w:tcBorders>
              <w:bottom w:val="single" w:color="000000" w:sz="12" w:space="0"/>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65.8</w:t>
            </w:r>
          </w:p>
        </w:tc>
      </w:tr>
    </w:tbl>
    <w:p>
      <w:pPr>
        <w:pStyle w:val="Normal"/>
        <w:spacing w:before="0" w:after="312" w:line="360" w:lineRule="auto"/>
        <w:ind w:end="0" w:firstLine="480"/>
        <w:rPr>
          <w:rFonts w:ascii="宋体;SimSun" w:hAnsi="宋体;SimSun" w:cs="宋体;SimSun"/>
          <w:sz w:val="24"/>
        </w:rPr>
      </w:pPr>
      <w:r>
        <w:rPr>
          <w:rFonts w:ascii="宋体;SimSun" w:hAnsi="宋体;SimSun" w:cs="宋体;SimSun"/>
          <w:sz w:val="24"/>
        </w:rPr>
      </w:r>
    </w:p>
    <w:p>
      <w:pPr>
        <w:spacing w:line="360" w:lineRule="auto"/>
        <w:numPr>
          <w:ilvl w:val="0"/>
          <w:numId w:val="0"/>
        </w:numPr>
        <w:outlineLvl w:val="1"/>
        <w:rPr>
          <w:rFonts w:ascii="宋体" w:hAnsi="宋体" w:eastAsia="宋体" w:cs="宋体"/>
          <w:b/>
          <w:bCs/>
          <w:sz w:val="30"/>
          <w:szCs w:val="30"/>
        </w:rPr>
      </w:pPr>
      <w:bookmarkStart w:name="__RefHeading___Toc224858191" w:id="22"/>
      <w:bookmarkEnd w:id="22"/>
      <w:r>
        <w:rPr>
          <w:rFonts w:ascii="宋体" w:hAnsi="宋体" w:eastAsia=""/>
          <w:sz w:val="30"/>
          <w:szCs w:val="30"/>
          <w:b/>
          <w:bCs/>
        </w:rPr>
        <w:t xml:space="preserve">3.2 </w:t>
      </w:r>
      <w:r>
        <w:rPr>
          <w:rFonts w:ascii="宋体" w:hAnsi="宋体" w:eastAsia=""/>
          <w:sz w:val="30"/>
          <w:szCs w:val="30"/>
          <w:b/>
          <w:bCs/>
        </w:rPr>
        <w:t>研究样本疾病知识水平现状</w:t>
      </w:r>
    </w:p>
    <w:p>
      <w:pPr>
        <w:spacing w:line="360" w:lineRule="auto"/>
        <w:ind w:firstLineChars="200"/>
        <w:jc w:val="both"/>
        <w:rPr>
          <w:rFonts w:ascii="宋体" w:hAnsi="宋体" w:eastAsia="宋体" w:cs="宋体"/>
          <w:sz w:val="24"/>
          <w:szCs w:val="24"/>
        </w:rPr>
      </w:pPr>
      <w:r>
        <w:rPr>
          <w:rFonts w:ascii="Times New Roman" w:hAnsi="Times New Roman" w:eastAsia="宋体"/>
          <w:sz w:val="24"/>
          <w:szCs w:val="24"/>
        </w:rPr>
        <w:t>患者整体认知水平较低，认知良好占比仅</w:t>
      </w:r>
      <w:r>
        <w:rPr>
          <w:rFonts w:ascii="Times New Roman" w:hAnsi="Times New Roman" w:eastAsia="宋体"/>
          <w:sz w:val="24"/>
          <w:szCs w:val="24"/>
        </w:rPr>
        <w:t>7.9%</w:t>
      </w:r>
      <w:r>
        <w:rPr>
          <w:rFonts w:ascii="Times New Roman" w:hAnsi="Times New Roman" w:eastAsia="宋体"/>
          <w:sz w:val="24"/>
          <w:szCs w:val="24"/>
        </w:rPr>
        <w:t>，认知一般占比</w:t>
      </w:r>
      <w:r>
        <w:rPr>
          <w:rFonts w:ascii="Times New Roman" w:hAnsi="Times New Roman" w:eastAsia="宋体"/>
          <w:sz w:val="24"/>
          <w:szCs w:val="24"/>
        </w:rPr>
        <w:t>27.9%</w:t>
      </w:r>
      <w:r>
        <w:rPr>
          <w:rFonts w:ascii="Times New Roman" w:hAnsi="Times New Roman" w:eastAsia="宋体"/>
          <w:sz w:val="24"/>
          <w:szCs w:val="24"/>
        </w:rPr>
        <w:t>，认知差者占比最多，</w:t>
      </w:r>
      <w:r>
        <w:rPr>
          <w:rFonts w:ascii="Times New Roman" w:hAnsi="Times New Roman" w:eastAsia="宋体"/>
          <w:sz w:val="24"/>
          <w:szCs w:val="24"/>
        </w:rPr>
        <w:t>占比高达</w:t>
      </w:r>
      <w:r>
        <w:rPr>
          <w:rFonts w:ascii="Times New Roman" w:hAnsi="Times New Roman" w:eastAsia="宋体"/>
          <w:sz w:val="24"/>
          <w:szCs w:val="24"/>
        </w:rPr>
        <w:t>64.2%</w:t>
      </w:r>
      <w:r>
        <w:rPr>
          <w:rFonts w:ascii="Times New Roman" w:hAnsi="Times New Roman" w:eastAsia="宋体"/>
          <w:sz w:val="24"/>
          <w:szCs w:val="24"/>
        </w:rPr>
        <w:t>。本研究结果显示，</w:t>
      </w:r>
      <w:r>
        <w:rPr>
          <w:rFonts w:ascii="Times New Roman" w:hAnsi="Times New Roman" w:eastAsia="宋体"/>
          <w:sz w:val="24"/>
          <w:szCs w:val="24"/>
        </w:rPr>
        <w:t>T2DM</w:t>
      </w:r>
      <w:r>
        <w:rPr>
          <w:rFonts w:ascii="Times New Roman" w:hAnsi="Times New Roman" w:eastAsia="宋体"/>
          <w:sz w:val="24"/>
          <w:szCs w:val="24"/>
        </w:rPr>
        <w:t>患者对糖尿病知识的了解程度仍以中、低水平为主，与黄金等</w:t>
      </w:r>
      <w:r>
        <w:rPr>
          <w:rFonts w:ascii="Times New Roman" w:hAnsi="Times New Roman" w:eastAsia="宋体"/>
          <w:sz w:val="24"/>
          <w:szCs w:val="24"/>
          <w:vertAlign w:val="superscript"/>
        </w:rPr>
        <w:t>[</w:t>
      </w:r>
      <w:r>
        <w:rPr>
          <w:rFonts w:ascii="Times New Roman" w:hAnsi="Times New Roman" w:eastAsia="宋体"/>
          <w:sz w:val="24"/>
          <w:szCs w:val="24"/>
          <w:vertAlign w:val="superscript"/>
        </w:rPr>
        <w:t>8</w:t>
      </w:r>
      <w:r>
        <w:rPr>
          <w:rFonts w:ascii="Times New Roman" w:hAnsi="Times New Roman" w:eastAsia="宋体"/>
          <w:sz w:val="24"/>
          <w:szCs w:val="24"/>
          <w:vertAlign w:val="superscript"/>
        </w:rPr>
        <w:t>]</w:t>
      </w:r>
      <w:r>
        <w:rPr>
          <w:rFonts w:ascii="Times New Roman" w:hAnsi="Times New Roman" w:eastAsia="宋体"/>
          <w:sz w:val="24"/>
          <w:szCs w:val="24"/>
        </w:rPr>
        <w:t>调查结果一 致</w:t>
      </w:r>
      <w:r>
        <w:rPr>
          <w:rFonts w:ascii="Times New Roman" w:hAnsi="Times New Roman" w:eastAsia="宋体"/>
          <w:sz w:val="24"/>
          <w:szCs w:val="24"/>
          <w:vertAlign w:val="superscript"/>
        </w:rPr>
        <w:t>[9]</w:t>
      </w:r>
      <w:r>
        <w:rPr>
          <w:rFonts w:ascii="Times New Roman" w:hAnsi="Times New Roman" w:eastAsia="宋体"/>
          <w:sz w:val="24"/>
          <w:szCs w:val="24"/>
        </w:rPr>
        <w:t>。见表</w:t>
      </w:r>
      <w:r>
        <w:rPr>
          <w:rFonts w:ascii="Times New Roman" w:hAnsi="Times New Roman" w:eastAsia="宋体"/>
          <w:sz w:val="24"/>
          <w:szCs w:val="24"/>
        </w:rPr>
        <w:t>3-2</w:t>
      </w:r>
    </w:p>
    <w:p>
      <w:pPr>
        <w:pStyle w:val="Normal"/>
        <w:spacing w:before="0" w:after="312" w:line="360" w:lineRule="auto"/>
        <w:ind w:end="0" w:firstLine="480"/>
        <w:rPr>
          <w:rFonts w:ascii="宋体;SimSun" w:hAnsi="宋体;SimSun" w:cs="宋体;SimSun"/>
          <w:sz w:val="24"/>
        </w:rPr>
      </w:pPr>
      <w:r>
        <w:rPr>
          <w:rFonts w:ascii="宋体;SimSun" w:hAnsi="宋体;SimSun" w:cs="宋体;SimSun"/>
          <w:sz w:val="24"/>
        </w:rPr>
      </w:r>
    </w:p>
    <w:p>
      <w:pPr>
        <w:spacing w:line="360" w:lineRule="auto"/>
        <w:ind w:firstLineChars="0"/>
        <w:jc w:val="center"/>
        <w:rPr>
          <w:rFonts w:ascii="宋体" w:hAnsi="宋体" w:eastAsia="宋体" w:cs="宋体"/>
          <w:sz w:val="24"/>
          <w:szCs w:val="24"/>
        </w:rPr>
      </w:pPr>
      <w:r>
        <w:rPr>
          <w:rFonts w:ascii="Times New Roman" w:hAnsi="Times New Roman" w:eastAsia="宋体"/>
          <w:sz w:val="21"/>
          <w:szCs w:val="21"/>
        </w:rPr>
        <w:t>表</w:t>
      </w:r>
      <w:r>
        <w:rPr>
          <w:rFonts w:ascii="Times New Roman" w:hAnsi="Times New Roman" w:eastAsia="宋体"/>
          <w:sz w:val="21"/>
          <w:szCs w:val="21"/>
        </w:rPr>
        <w:t xml:space="preserve">3-2 </w:t>
      </w:r>
      <w:r>
        <w:rPr>
          <w:rFonts w:ascii="Times New Roman" w:hAnsi="Times New Roman" w:eastAsia="宋体"/>
          <w:sz w:val="21"/>
          <w:szCs w:val="21"/>
        </w:rPr>
        <w:t>疾病认知水平整体现状</w:t>
      </w:r>
    </w:p>
    <w:tbl>
      <w:tblPr>
        <w:tblW w:w="6000" w:type="dxa"/>
        <w:jc w:val="center"/>
        <w:tblInd w:w="0" w:type="dxa"/>
        <w:tblLayout w:type="fixed"/>
        <w:tblCellMar>
          <w:top w:w="0" w:type="dxa"/>
          <w:start w:w="108" w:type="dxa"/>
          <w:bottom w:w="0" w:type="dxa"/>
          <w:end w:w="108" w:type="dxa"/>
        </w:tblCellMar>
      </w:tblPr>
      <w:tblGrid>
        <w:gridCol w:w="2420"/>
        <w:gridCol w:w="1540"/>
        <w:gridCol w:w="1020"/>
        <w:gridCol w:w="1020"/>
      </w:tblGrid>
      <w:tr>
        <w:trPr>
          <w:trHeight w:val="278" w:hRule="atLeast"/>
        </w:trPr>
        <w:tc>
          <w:tcPr>
            <w:tcW w:w="2420" w:type="dxa"/>
            <w:tcBorders>
              <w:top w:val="single" w:color="000000" w:sz="12" w:space="0"/>
              <w:bottom w:val="single" w:color="000000" w:sz="6" w:space="0"/>
            </w:tcBorders>
          </w:tcPr>
          <w:p>
            <w:pPr>
              <w:pStyle w:val="Normal"/>
              <w:snapToGrid w:val="false"/>
              <w:spacing w:line="360" w:lineRule="auto"/>
              <w:jc w:val="center"/>
              <w:rPr>
                <w:sz w:val="24"/>
              </w:rPr>
            </w:pPr>
            <w:r>
              <w:rPr>
                <w:sz w:val="24"/>
              </w:rPr>
            </w:r>
          </w:p>
        </w:tc>
        <w:tc>
          <w:tcPr>
            <w:tcW w:w="1540" w:type="dxa"/>
            <w:tcBorders>
              <w:top w:val="single" w:color="000000" w:sz="12" w:space="0"/>
              <w:bottom w:val="single" w:color="000000" w:sz="6" w:space="0"/>
            </w:tcBorders>
          </w:tcPr>
          <w:p>
            <w:pPr>
              <w:spacing w:line="360" w:lineRule="auto"/>
              <w:ind w:firstLineChars="200"/>
              <w:jc w:val="both"/>
              <w:rPr>
                <w:rFonts w:ascii="宋体" w:hAnsi="宋体" w:eastAsia="宋体" w:cs="宋体"/>
                <w:sz w:val="24"/>
                <w:szCs w:val="24"/>
              </w:rPr>
            </w:pPr>
            <w:r>
              <w:rPr>
                <w:rFonts w:ascii="Times New Roman" w:hAnsi="Times New Roman" w:eastAsia="宋体"/>
                <w:sz w:val="24"/>
                <w:szCs w:val="24"/>
              </w:rPr>
              <w:t>分类</w:t>
            </w:r>
          </w:p>
        </w:tc>
        <w:tc>
          <w:tcPr>
            <w:tcW w:w="1020" w:type="dxa"/>
            <w:tcBorders>
              <w:top w:val="single" w:color="000000" w:sz="12" w:space="0"/>
              <w:bottom w:val="single" w:color="000000" w:sz="6" w:space="0"/>
            </w:tcBorders>
          </w:tcPr>
          <w:p>
            <w:pPr>
              <w:spacing w:line="360" w:lineRule="auto"/>
              <w:ind w:firstLineChars="200"/>
              <w:jc w:val="both"/>
              <w:rPr>
                <w:rFonts w:ascii="宋体" w:hAnsi="宋体" w:eastAsia="宋体" w:cs="宋体"/>
                <w:sz w:val="24"/>
                <w:szCs w:val="24"/>
              </w:rPr>
            </w:pPr>
            <w:r>
              <w:rPr>
                <w:rFonts w:ascii="Times New Roman" w:hAnsi="Times New Roman" w:eastAsia="宋体"/>
                <w:sz w:val="24"/>
                <w:szCs w:val="24"/>
              </w:rPr>
              <w:t>频数</w:t>
            </w:r>
          </w:p>
        </w:tc>
        <w:tc>
          <w:tcPr>
            <w:tcW w:w="1020" w:type="dxa"/>
            <w:tcBorders>
              <w:top w:val="single" w:color="000000" w:sz="12" w:space="0"/>
              <w:bottom w:val="single" w:color="000000" w:sz="6" w:space="0"/>
            </w:tcBorders>
          </w:tcPr>
          <w:p>
            <w:pPr>
              <w:spacing w:line="360" w:lineRule="auto"/>
              <w:ind w:firstLineChars="200"/>
              <w:jc w:val="both"/>
              <w:rPr>
                <w:rFonts w:ascii="宋体" w:hAnsi="宋体" w:eastAsia="宋体" w:cs="宋体"/>
                <w:sz w:val="24"/>
                <w:szCs w:val="24"/>
              </w:rPr>
            </w:pPr>
            <w:r>
              <w:rPr>
                <w:rFonts w:ascii="Times New Roman" w:hAnsi="Times New Roman" w:eastAsia="宋体"/>
                <w:sz w:val="24"/>
                <w:szCs w:val="24"/>
              </w:rPr>
              <w:t>百分比</w:t>
            </w:r>
          </w:p>
        </w:tc>
      </w:tr>
      <w:tr>
        <w:trPr>
          <w:trHeight w:val="278" w:hRule="atLeast"/>
        </w:trPr>
        <w:tc>
          <w:tcPr>
            <w:tcW w:w="2420" w:type="dxa"/>
            <w:tcBorders/>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分级</w:t>
            </w:r>
          </w:p>
        </w:tc>
        <w:tc>
          <w:tcPr>
            <w:tcW w:w="1540" w:type="dxa"/>
            <w:tcBorders/>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差</w:t>
            </w:r>
          </w:p>
        </w:tc>
        <w:tc>
          <w:tcPr>
            <w:tcW w:w="1020" w:type="dxa"/>
            <w:tcBorders/>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122</w:t>
            </w:r>
          </w:p>
        </w:tc>
        <w:tc>
          <w:tcPr>
            <w:tcW w:w="1020" w:type="dxa"/>
            <w:tcBorders/>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64.2</w:t>
            </w:r>
          </w:p>
        </w:tc>
      </w:tr>
      <w:tr>
        <w:trPr>
          <w:trHeight w:val="278" w:hRule="atLeast"/>
        </w:trPr>
        <w:tc>
          <w:tcPr>
            <w:tcW w:w="2420" w:type="dxa"/>
            <w:tcBorders/>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540" w:type="dxa"/>
            <w:tcBorders/>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一般</w:t>
            </w:r>
          </w:p>
        </w:tc>
        <w:tc>
          <w:tcPr>
            <w:tcW w:w="1020" w:type="dxa"/>
            <w:tcBorders/>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53</w:t>
            </w:r>
          </w:p>
        </w:tc>
        <w:tc>
          <w:tcPr>
            <w:tcW w:w="1020" w:type="dxa"/>
            <w:tcBorders/>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27.9</w:t>
            </w:r>
          </w:p>
        </w:tc>
      </w:tr>
      <w:tr>
        <w:trPr>
          <w:trHeight w:val="278" w:hRule="atLeast"/>
        </w:trPr>
        <w:tc>
          <w:tcPr>
            <w:tcW w:w="2420" w:type="dxa"/>
            <w:tcBorders>
              <w:bottom w:val="single" w:color="000000" w:sz="12" w:space="0"/>
            </w:tcBorders>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540" w:type="dxa"/>
            <w:tcBorders>
              <w:bottom w:val="single" w:color="000000" w:sz="12" w:space="0"/>
            </w:tcBorders>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良好</w:t>
            </w:r>
          </w:p>
        </w:tc>
        <w:tc>
          <w:tcPr>
            <w:tcW w:w="1020" w:type="dxa"/>
            <w:tcBorders>
              <w:bottom w:val="single" w:color="000000" w:sz="12" w:space="0"/>
            </w:tcBorders>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15</w:t>
            </w:r>
          </w:p>
        </w:tc>
        <w:tc>
          <w:tcPr>
            <w:tcW w:w="1020" w:type="dxa"/>
            <w:tcBorders>
              <w:bottom w:val="single" w:color="000000" w:sz="12" w:space="0"/>
            </w:tcBorders>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7.9</w:t>
            </w:r>
          </w:p>
        </w:tc>
      </w:tr>
    </w:tbl>
    <w:p>
      <w:pPr>
        <w:spacing w:line="360" w:lineRule="auto"/>
        <w:numPr>
          <w:ilvl w:val="0"/>
          <w:numId w:val="0"/>
        </w:numPr>
        <w:outlineLvl w:val="1"/>
        <w:rPr>
          <w:rFonts w:ascii="宋体" w:hAnsi="宋体" w:eastAsia="宋体" w:cs="宋体"/>
          <w:b/>
          <w:bCs/>
          <w:sz w:val="30"/>
          <w:szCs w:val="30"/>
        </w:rPr>
      </w:pPr>
      <w:bookmarkStart w:name="__RefHeading___Toc224858192" w:id="23"/>
      <w:bookmarkEnd w:id="23"/>
      <w:r>
        <w:rPr>
          <w:rFonts w:ascii="宋体" w:hAnsi="宋体" w:eastAsia=""/>
          <w:sz w:val="30"/>
          <w:szCs w:val="30"/>
          <w:b/>
          <w:bCs/>
        </w:rPr>
        <w:t xml:space="preserve">3.3 </w:t>
      </w:r>
      <w:r>
        <w:rPr>
          <w:rFonts w:ascii="宋体" w:hAnsi="宋体" w:eastAsia=""/>
          <w:sz w:val="30"/>
          <w:szCs w:val="30"/>
          <w:b/>
          <w:bCs/>
        </w:rPr>
        <w:t>核心特征与认知现状的关联</w:t>
      </w:r>
    </w:p>
    <w:p>
      <w:pPr>
        <w:spacing w:line="360" w:lineRule="auto"/>
        <w:ind w:firstLineChars="200"/>
        <w:jc w:val="both"/>
        <w:rPr>
          <w:rFonts w:ascii="宋体" w:hAnsi="宋体" w:eastAsia="宋体" w:cs="宋体"/>
          <w:sz w:val="24"/>
          <w:szCs w:val="24"/>
        </w:rPr>
      </w:pPr>
      <w:r>
        <w:rPr>
          <w:rFonts w:ascii="Times New Roman" w:hAnsi="Times New Roman" w:eastAsia="宋体"/>
          <w:sz w:val="24"/>
          <w:szCs w:val="24"/>
        </w:rPr>
        <w:t>结合样本分析可以直观看出认知水平低的潜在背景：研究对象以高龄、低学历、无业</w:t>
      </w:r>
      <w:r>
        <w:rPr>
          <w:rFonts w:ascii="Times New Roman" w:hAnsi="Times New Roman" w:eastAsia="宋体"/>
          <w:sz w:val="24"/>
          <w:szCs w:val="24"/>
        </w:rPr>
        <w:t>/</w:t>
      </w:r>
      <w:r>
        <w:rPr>
          <w:rFonts w:ascii="Times New Roman" w:hAnsi="Times New Roman" w:eastAsia="宋体"/>
          <w:sz w:val="24"/>
          <w:szCs w:val="24"/>
        </w:rPr>
        <w:t>退休人群为主，且超过六层未接受过糖尿病健康教育，这类特征与糖尿病疾病认知水平偏低的特点高度契合，也为后续分析认知水平的影响因素提供了基础样本背景支撑。</w:t>
      </w:r>
    </w:p>
    <w:p>
      <w:pPr>
        <w:spacing w:beforeLines="100" w:afterLines="100"/>
        <w:jc w:val="left"/>
        <w:numPr>
          <w:ilvl w:val="0"/>
          <w:numId w:val="0"/>
        </w:numPr>
        <w:snapToGrid w:val="false"/>
        <w:outlineLvl w:val="0"/>
        <w:rPr>
          <w:rFonts w:ascii="宋体" w:hAnsi="宋体" w:eastAsia="宋体" w:cs="宋体"/>
          <w:b/>
          <w:bCs/>
          <w:sz w:val="32"/>
          <w:szCs w:val="32"/>
        </w:rPr>
      </w:pPr>
      <w:bookmarkStart w:name="__RefHeading___Toc224858193" w:id="24"/>
      <w:bookmarkEnd w:id="24"/>
      <w:r>
        <w:rPr>
          <w:rFonts w:ascii="宋体" w:hAnsi="宋体" w:eastAsia=""/>
          <w:sz w:val="32"/>
          <w:szCs w:val="32"/>
          <w:b/>
          <w:bCs/>
        </w:rPr>
        <w:t xml:space="preserve">4 </w:t>
      </w:r>
      <w:r>
        <w:rPr>
          <w:rFonts w:ascii="宋体" w:hAnsi="宋体" w:eastAsia=""/>
          <w:sz w:val="32"/>
          <w:szCs w:val="32"/>
          <w:b/>
          <w:bCs/>
        </w:rPr>
        <w:t>认知水平影响因素分析</w:t>
      </w:r>
    </w:p>
    <w:p>
      <w:pPr>
        <w:spacing w:line="360" w:lineRule="auto"/>
        <w:numPr>
          <w:ilvl w:val="0"/>
          <w:numId w:val="0"/>
        </w:numPr>
        <w:outlineLvl w:val="1"/>
        <w:rPr>
          <w:rFonts w:ascii="宋体" w:hAnsi="宋体" w:eastAsia="宋体" w:cs="宋体"/>
          <w:b/>
          <w:bCs/>
          <w:sz w:val="30"/>
          <w:szCs w:val="30"/>
        </w:rPr>
      </w:pPr>
      <w:bookmarkStart w:name="__RefHeading___Toc224858194" w:id="25"/>
      <w:bookmarkEnd w:id="25"/>
      <w:r>
        <w:rPr>
          <w:rFonts w:ascii="宋体" w:hAnsi="宋体" w:eastAsia=""/>
          <w:sz w:val="30"/>
          <w:szCs w:val="30"/>
          <w:b/>
          <w:bCs/>
        </w:rPr>
        <w:t xml:space="preserve">4.1 </w:t>
      </w:r>
      <w:r>
        <w:rPr>
          <w:rFonts w:ascii="宋体" w:hAnsi="宋体" w:eastAsia=""/>
          <w:sz w:val="30"/>
          <w:szCs w:val="30"/>
          <w:b/>
          <w:bCs/>
        </w:rPr>
        <w:t>单因素影响分析</w:t>
      </w:r>
    </w:p>
    <w:p>
      <w:pPr>
        <w:spacing w:line="360" w:lineRule="auto"/>
        <w:ind w:firstLineChars="200"/>
        <w:jc w:val="both"/>
        <w:rPr>
          <w:rFonts w:ascii="宋体" w:hAnsi="宋体" w:eastAsia="宋体" w:cs="宋体"/>
          <w:sz w:val="24"/>
          <w:szCs w:val="24"/>
        </w:rPr>
      </w:pPr>
      <w:r>
        <w:rPr>
          <w:rFonts w:ascii="Times New Roman" w:hAnsi="Times New Roman" w:eastAsia="宋体"/>
          <w:sz w:val="24"/>
          <w:szCs w:val="24"/>
        </w:rPr>
        <w:t>经单因素分析结果显示，不同年龄、职业、居住地、文化程度、家庭月收入、吸烟、家族史、接受过健康教育八个变量对疾病认知水平具有统计意义（</w:t>
      </w:r>
      <w:r>
        <w:rPr>
          <w:rFonts w:ascii="Times New Roman" w:hAnsi="Times New Roman" w:eastAsia="宋体"/>
          <w:sz w:val="24"/>
          <w:szCs w:val="24"/>
        </w:rPr>
        <w:t>P</w:t>
      </w:r>
      <w:r>
        <w:rPr>
          <w:rFonts w:ascii="Times New Roman" w:hAnsi="Times New Roman" w:eastAsia="宋体"/>
          <w:sz w:val="24"/>
          <w:szCs w:val="24"/>
        </w:rPr>
        <w:t>＜</w:t>
      </w:r>
      <w:r>
        <w:rPr>
          <w:rFonts w:ascii="Times New Roman" w:hAnsi="Times New Roman" w:eastAsia="宋体"/>
          <w:sz w:val="24"/>
          <w:szCs w:val="24"/>
        </w:rPr>
        <w:t>0.05</w:t>
      </w:r>
      <w:r>
        <w:rPr>
          <w:rFonts w:ascii="Times New Roman" w:hAnsi="Times New Roman" w:eastAsia="宋体"/>
          <w:sz w:val="24"/>
          <w:szCs w:val="24"/>
        </w:rPr>
        <w:t>），其余变量组间无差异（</w:t>
      </w:r>
      <w:r>
        <w:rPr>
          <w:rFonts w:ascii="Times New Roman" w:hAnsi="Times New Roman" w:eastAsia="宋体"/>
          <w:sz w:val="24"/>
          <w:szCs w:val="24"/>
        </w:rPr>
        <w:t>P</w:t>
      </w:r>
      <w:r>
        <w:rPr>
          <w:rFonts w:ascii="Times New Roman" w:hAnsi="Times New Roman" w:eastAsia="宋体"/>
          <w:sz w:val="24"/>
          <w:szCs w:val="24"/>
        </w:rPr>
        <w:t>＞</w:t>
      </w:r>
      <w:r>
        <w:rPr>
          <w:rFonts w:ascii="Times New Roman" w:hAnsi="Times New Roman" w:eastAsia="宋体"/>
          <w:sz w:val="24"/>
          <w:szCs w:val="24"/>
        </w:rPr>
        <w:t>0.05</w:t>
      </w:r>
      <w:r>
        <w:rPr>
          <w:rFonts w:ascii="Times New Roman" w:hAnsi="Times New Roman" w:eastAsia="宋体"/>
          <w:sz w:val="24"/>
          <w:szCs w:val="24"/>
        </w:rPr>
        <w:t>）。见表</w:t>
      </w:r>
      <w:r>
        <w:rPr>
          <w:rFonts w:ascii="Times New Roman" w:hAnsi="Times New Roman" w:eastAsia="宋体"/>
          <w:sz w:val="24"/>
          <w:szCs w:val="24"/>
        </w:rPr>
        <w:t>4-1</w:t>
      </w:r>
    </w:p>
    <w:p>
      <w:pPr>
        <w:spacing w:line="360" w:lineRule="auto"/>
        <w:ind w:firstLineChars="0"/>
        <w:jc w:val="center"/>
        <w:rPr>
          <w:rFonts w:ascii="宋体" w:hAnsi="宋体" w:eastAsia="宋体" w:cs="宋体"/>
          <w:sz w:val="24"/>
          <w:szCs w:val="24"/>
        </w:rPr>
      </w:pPr>
      <w:r>
        <w:rPr>
          <w:rFonts w:ascii="Times New Roman" w:hAnsi="Times New Roman" w:eastAsia="宋体"/>
          <w:sz w:val="21"/>
          <w:szCs w:val="21"/>
        </w:rPr>
        <w:t>表</w:t>
      </w:r>
      <w:r>
        <w:rPr>
          <w:rFonts w:ascii="Times New Roman" w:hAnsi="Times New Roman" w:eastAsia="宋体"/>
          <w:sz w:val="21"/>
          <w:szCs w:val="21"/>
        </w:rPr>
        <w:t xml:space="preserve">4-1 </w:t>
      </w:r>
      <w:r>
        <w:rPr>
          <w:rFonts w:ascii="Times New Roman" w:hAnsi="Times New Roman" w:eastAsia="宋体"/>
          <w:sz w:val="21"/>
          <w:szCs w:val="21"/>
        </w:rPr>
        <w:t>社区二型糖尿病患者疾病认知水平的单因素分析</w:t>
      </w:r>
      <w:r>
        <w:rPr>
          <w:rFonts w:ascii="Times New Roman" w:hAnsi="Times New Roman" w:eastAsia="宋体"/>
          <w:sz w:val="21"/>
          <w:szCs w:val="21"/>
        </w:rPr>
        <w:t>[n(%)]</w:t>
      </w:r>
    </w:p>
    <w:tbl>
      <w:tblPr>
        <w:tblW w:w="5750" w:type="pct"/>
        <w:jc w:val="left"/>
        <w:tblInd w:w="-682" w:type="dxa"/>
        <w:tblLayout w:type="fixed"/>
        <w:tblCellMar>
          <w:top w:w="0" w:type="dxa"/>
          <w:start w:w="108" w:type="dxa"/>
          <w:bottom w:w="0" w:type="dxa"/>
          <w:end w:w="108" w:type="dxa"/>
        </w:tblCellMar>
      </w:tblPr>
      <w:tblGrid>
        <w:gridCol w:w="1795"/>
        <w:gridCol w:w="1398"/>
        <w:gridCol w:w="847"/>
        <w:gridCol w:w="1450"/>
        <w:gridCol w:w="1450"/>
        <w:gridCol w:w="1519"/>
        <w:gridCol w:w="1231"/>
        <w:gridCol w:w="1067"/>
      </w:tblGrid>
      <w:tr>
        <w:trPr>
          <w:trHeight w:val="300" w:hRule="atLeast"/>
        </w:trPr>
        <w:tc>
          <w:tcPr>
            <w:tcW w:w="3193" w:type="dxa"/>
            <w:gridSpan w:val="2"/>
            <w:tcBorders>
              <w:top w:val="single" w:color="000000" w:sz="12" w:space="0"/>
              <w:bottom w:val="single" w:color="000000" w:sz="8" w:space="0"/>
            </w:tcBorders>
            <w:vAlign w:val="center"/>
          </w:tcPr>
          <w:p>
            <w:pPr>
              <w:spacing w:line="360" w:lineRule="auto"/>
              <w:ind w:firstLineChars="200"/>
              <w:jc w:val="both"/>
              <w:rPr>
                <w:rFonts w:ascii="宋体" w:hAnsi="宋体" w:eastAsia="宋体" w:cs="宋体"/>
                <w:sz w:val="24"/>
                <w:szCs w:val="24"/>
              </w:rPr>
            </w:pPr>
            <w:r>
              <w:rPr>
                <w:rFonts w:ascii="Times New Roman" w:hAnsi="Times New Roman" w:eastAsia="宋体"/>
                <w:sz w:val="24"/>
                <w:szCs w:val="24"/>
              </w:rPr>
              <w:t>因素</w:t>
            </w:r>
          </w:p>
        </w:tc>
        <w:tc>
          <w:tcPr>
            <w:tcW w:w="847" w:type="dxa"/>
            <w:tcBorders>
              <w:top w:val="single" w:color="000000" w:sz="12" w:space="0"/>
              <w:bottom w:val="single" w:color="000000" w:sz="8" w:space="0"/>
            </w:tcBorders>
            <w:vAlign w:val="center"/>
          </w:tcPr>
          <w:p>
            <w:pPr>
              <w:spacing w:line="360" w:lineRule="auto"/>
              <w:ind w:firstLineChars="200"/>
              <w:jc w:val="both"/>
              <w:rPr>
                <w:rFonts w:ascii="宋体" w:hAnsi="宋体" w:eastAsia="宋体" w:cs="宋体"/>
                <w:sz w:val="24"/>
                <w:szCs w:val="24"/>
              </w:rPr>
            </w:pPr>
            <w:r>
              <w:rPr>
                <w:rFonts w:ascii="Times New Roman" w:hAnsi="Times New Roman" w:eastAsia="宋体"/>
                <w:sz w:val="24"/>
                <w:szCs w:val="24"/>
              </w:rPr>
              <w:t>n</w:t>
            </w:r>
          </w:p>
        </w:tc>
        <w:tc>
          <w:tcPr>
            <w:tcW w:w="1450" w:type="dxa"/>
            <w:tcBorders>
              <w:top w:val="single" w:color="000000" w:sz="12" w:space="0"/>
              <w:bottom w:val="single" w:color="000000" w:sz="8" w:space="0"/>
            </w:tcBorders>
            <w:vAlign w:val="center"/>
          </w:tcPr>
          <w:p>
            <w:pPr>
              <w:spacing w:line="360" w:lineRule="auto"/>
              <w:ind w:firstLineChars="200"/>
              <w:jc w:val="both"/>
              <w:rPr>
                <w:rFonts w:ascii="宋体" w:hAnsi="宋体" w:eastAsia="宋体" w:cs="宋体"/>
                <w:sz w:val="24"/>
                <w:szCs w:val="24"/>
              </w:rPr>
            </w:pPr>
            <w:r>
              <w:rPr>
                <w:rFonts w:ascii="Times New Roman" w:hAnsi="Times New Roman" w:eastAsia="宋体"/>
                <w:sz w:val="24"/>
                <w:szCs w:val="24"/>
              </w:rPr>
              <w:t>认知差组</w:t>
            </w:r>
            <w:r>
              <w:rPr>
                <w:rFonts w:ascii="Times New Roman" w:hAnsi="Times New Roman" w:eastAsia="宋体"/>
                <w:sz w:val="24"/>
                <w:szCs w:val="24"/>
              </w:rPr>
              <w:t>(n=122)</w:t>
            </w:r>
          </w:p>
        </w:tc>
        <w:tc>
          <w:tcPr>
            <w:tcW w:w="1450" w:type="dxa"/>
            <w:tcBorders>
              <w:top w:val="single" w:color="000000" w:sz="12" w:space="0"/>
              <w:bottom w:val="single" w:color="000000" w:sz="8" w:space="0"/>
            </w:tcBorders>
            <w:vAlign w:val="center"/>
          </w:tcPr>
          <w:p>
            <w:pPr>
              <w:spacing w:line="360" w:lineRule="auto"/>
              <w:ind w:firstLineChars="200"/>
              <w:jc w:val="both"/>
              <w:rPr>
                <w:rFonts w:ascii="宋体" w:hAnsi="宋体" w:eastAsia="宋体" w:cs="宋体"/>
                <w:sz w:val="24"/>
                <w:szCs w:val="24"/>
              </w:rPr>
            </w:pPr>
            <w:r>
              <w:rPr>
                <w:rFonts w:ascii="Times New Roman" w:hAnsi="Times New Roman" w:eastAsia="宋体"/>
                <w:sz w:val="24"/>
                <w:szCs w:val="24"/>
              </w:rPr>
              <w:t>认知一般组</w:t>
            </w:r>
            <w:r>
              <w:rPr>
                <w:rFonts w:ascii="Times New Roman" w:hAnsi="Times New Roman" w:eastAsia="宋体"/>
                <w:sz w:val="24"/>
                <w:szCs w:val="24"/>
              </w:rPr>
              <w:t>(n=53)</w:t>
            </w:r>
          </w:p>
        </w:tc>
        <w:tc>
          <w:tcPr>
            <w:tcW w:w="1519" w:type="dxa"/>
            <w:tcBorders>
              <w:top w:val="single" w:color="000000" w:sz="12" w:space="0"/>
              <w:bottom w:val="single" w:color="000000" w:sz="8" w:space="0"/>
            </w:tcBorders>
            <w:vAlign w:val="center"/>
          </w:tcPr>
          <w:p>
            <w:pPr>
              <w:spacing w:line="360" w:lineRule="auto"/>
              <w:ind w:firstLineChars="200"/>
              <w:jc w:val="both"/>
              <w:rPr>
                <w:rFonts w:ascii="宋体" w:hAnsi="宋体" w:eastAsia="宋体" w:cs="宋体"/>
                <w:sz w:val="24"/>
                <w:szCs w:val="24"/>
              </w:rPr>
            </w:pPr>
            <w:r>
              <w:rPr>
                <w:rFonts w:ascii="Times New Roman" w:hAnsi="Times New Roman" w:eastAsia="宋体"/>
                <w:sz w:val="24"/>
                <w:szCs w:val="24"/>
              </w:rPr>
              <w:t>认知良好组</w:t>
            </w:r>
            <w:r>
              <w:rPr>
                <w:rFonts w:ascii="Times New Roman" w:hAnsi="Times New Roman" w:eastAsia="宋体"/>
                <w:sz w:val="24"/>
                <w:szCs w:val="24"/>
              </w:rPr>
              <w:t>(n=15)</w:t>
            </w:r>
          </w:p>
        </w:tc>
        <w:tc>
          <w:tcPr>
            <w:tcW w:w="1231" w:type="dxa"/>
            <w:tcBorders>
              <w:top w:val="single" w:color="000000" w:sz="12" w:space="0"/>
              <w:bottom w:val="single" w:color="000000" w:sz="8" w:space="0"/>
            </w:tcBorders>
            <w:vAlign w:val="center"/>
          </w:tcPr>
          <w:p>
            <w:pPr>
              <w:spacing w:line="360" w:lineRule="auto"/>
              <w:ind w:firstLineChars="200"/>
              <w:jc w:val="both"/>
              <w:rPr>
                <w:rFonts w:ascii="宋体" w:hAnsi="宋体" w:eastAsia="宋体" w:cs="宋体"/>
                <w:sz w:val="24"/>
                <w:szCs w:val="24"/>
              </w:rPr>
            </w:pPr>
            <w:r>
              <w:rPr>
                <w:rFonts w:ascii="Times New Roman" w:hAnsi="Times New Roman" w:eastAsia="宋体"/>
                <w:sz w:val="24"/>
                <w:szCs w:val="24"/>
              </w:rPr>
              <w:sym w:font="Symbol" w:char="63"/>
            </w:r>
            <w:r>
              <w:rPr>
                <w:rFonts w:ascii="Times New Roman" w:hAnsi="Times New Roman" w:eastAsia="宋体"/>
                <w:sz w:val="24"/>
                <w:szCs w:val="24"/>
              </w:rPr>
              <w:t>2/Z</w:t>
            </w:r>
          </w:p>
        </w:tc>
        <w:tc>
          <w:tcPr>
            <w:tcW w:w="1067" w:type="dxa"/>
            <w:tcBorders>
              <w:top w:val="single" w:color="000000" w:sz="12" w:space="0"/>
              <w:bottom w:val="single" w:color="000000" w:sz="8" w:space="0"/>
            </w:tcBorders>
            <w:vAlign w:val="center"/>
          </w:tcPr>
          <w:p>
            <w:pPr>
              <w:spacing w:line="360" w:lineRule="auto"/>
              <w:ind w:firstLineChars="200"/>
              <w:jc w:val="both"/>
              <w:rPr>
                <w:rFonts w:ascii="宋体" w:hAnsi="宋体" w:eastAsia="宋体" w:cs="宋体"/>
                <w:sz w:val="24"/>
                <w:szCs w:val="24"/>
              </w:rPr>
            </w:pPr>
            <w:r>
              <w:rPr>
                <w:rFonts w:ascii="Times New Roman" w:hAnsi="Times New Roman" w:eastAsia="宋体"/>
                <w:sz w:val="24"/>
                <w:szCs w:val="24"/>
              </w:rPr>
              <w:t>P</w:t>
            </w:r>
          </w:p>
        </w:tc>
      </w:tr>
      <w:tr>
        <w:trPr>
          <w:trHeight w:val="270" w:hRule="atLeast"/>
        </w:trPr>
        <w:tc>
          <w:tcPr>
            <w:tcW w:w="1795"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性别</w:t>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男</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88</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57(46.72)</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21(39.62)</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10(66.67)</w:t>
            </w:r>
          </w:p>
        </w:tc>
        <w:tc>
          <w:tcPr>
            <w:tcW w:w="1231"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3.461</w:t>
            </w:r>
          </w:p>
        </w:tc>
        <w:tc>
          <w:tcPr>
            <w:tcW w:w="1067"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0.177</w:t>
            </w:r>
          </w:p>
        </w:tc>
      </w:tr>
      <w:tr>
        <w:trPr>
          <w:trHeight w:val="270" w:hRule="atLeast"/>
        </w:trPr>
        <w:tc>
          <w:tcPr>
            <w:tcW w:w="1795"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女</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102</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65(53.28)</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32(60.38)</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5(33.33)</w:t>
            </w:r>
          </w:p>
        </w:tc>
        <w:tc>
          <w:tcPr>
            <w:tcW w:w="1231"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067"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r>
      <w:tr>
        <w:trPr>
          <w:trHeight w:val="270" w:hRule="atLeast"/>
        </w:trPr>
        <w:tc>
          <w:tcPr>
            <w:tcW w:w="1795"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年龄</w:t>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&lt;40</w:t>
            </w:r>
            <w:r>
              <w:rPr>
                <w:rFonts w:ascii="Times New Roman" w:hAnsi="Times New Roman" w:eastAsia="宋体"/>
                <w:sz w:val="24"/>
                <w:szCs w:val="24"/>
                <w:color w:val="000000"/>
                <w:kern w:val="0"/>
              </w:rPr>
              <w:t>岁</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33</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2(1.64)</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28(52.83)</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2(20.00)</w:t>
            </w:r>
          </w:p>
        </w:tc>
        <w:tc>
          <w:tcPr>
            <w:tcW w:w="1231"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86.137</w:t>
            </w:r>
          </w:p>
        </w:tc>
        <w:tc>
          <w:tcPr>
            <w:tcW w:w="106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&lt;0.001</w:t>
            </w:r>
          </w:p>
        </w:tc>
      </w:tr>
      <w:tr>
        <w:trPr>
          <w:trHeight w:val="270" w:hRule="atLeast"/>
        </w:trPr>
        <w:tc>
          <w:tcPr>
            <w:tcW w:w="1795"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40-60</w:t>
            </w:r>
            <w:r>
              <w:rPr>
                <w:rFonts w:ascii="Times New Roman" w:hAnsi="Times New Roman" w:eastAsia="宋体"/>
                <w:sz w:val="24"/>
                <w:szCs w:val="24"/>
                <w:color w:val="000000"/>
                <w:kern w:val="0"/>
              </w:rPr>
              <w:t>岁</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54</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28(22.95)</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21(39.62)</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5(33.33)</w:t>
            </w:r>
          </w:p>
        </w:tc>
        <w:tc>
          <w:tcPr>
            <w:tcW w:w="1231"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067"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r>
      <w:tr>
        <w:trPr>
          <w:trHeight w:val="270" w:hRule="atLeast"/>
        </w:trPr>
        <w:tc>
          <w:tcPr>
            <w:tcW w:w="1795"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&gt;60</w:t>
            </w:r>
            <w:r>
              <w:rPr>
                <w:rFonts w:ascii="Times New Roman" w:hAnsi="Times New Roman" w:eastAsia="宋体"/>
                <w:sz w:val="24"/>
                <w:szCs w:val="24"/>
                <w:color w:val="000000"/>
                <w:kern w:val="0"/>
              </w:rPr>
              <w:t>岁</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103</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92(75.41)</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4(7.55)</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7(46.67)</w:t>
            </w:r>
          </w:p>
        </w:tc>
        <w:tc>
          <w:tcPr>
            <w:tcW w:w="1231"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067"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r>
      <w:tr>
        <w:trPr>
          <w:trHeight w:val="270" w:hRule="atLeast"/>
        </w:trPr>
        <w:tc>
          <w:tcPr>
            <w:tcW w:w="1795"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职业</w:t>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脑力劳动</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37</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10(8.20)</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22(41.51)</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5(33.33)</w:t>
            </w:r>
          </w:p>
        </w:tc>
        <w:tc>
          <w:tcPr>
            <w:tcW w:w="1231"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45.249</w:t>
            </w:r>
          </w:p>
        </w:tc>
        <w:tc>
          <w:tcPr>
            <w:tcW w:w="106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&lt;0.001</w:t>
            </w:r>
          </w:p>
        </w:tc>
      </w:tr>
      <w:tr>
        <w:trPr>
          <w:trHeight w:val="270" w:hRule="atLeast"/>
        </w:trPr>
        <w:tc>
          <w:tcPr>
            <w:tcW w:w="1795"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体力劳动</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32</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14(11.48)</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16(30.19)</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2(13.33)</w:t>
            </w:r>
          </w:p>
        </w:tc>
        <w:tc>
          <w:tcPr>
            <w:tcW w:w="1231"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067"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r>
      <w:tr>
        <w:trPr>
          <w:trHeight w:val="270" w:hRule="atLeast"/>
        </w:trPr>
        <w:tc>
          <w:tcPr>
            <w:tcW w:w="1795"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无业及退休</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121</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98(80.33)</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15(28.30)</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8(53.33)</w:t>
            </w:r>
          </w:p>
        </w:tc>
        <w:tc>
          <w:tcPr>
            <w:tcW w:w="1231"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067"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r>
      <w:tr>
        <w:trPr>
          <w:trHeight w:val="270" w:hRule="atLeast"/>
        </w:trPr>
        <w:tc>
          <w:tcPr>
            <w:tcW w:w="1795"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居住地</w:t>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农村</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91</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75(61.48)</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16(30.19)</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0(0.00)</w:t>
            </w:r>
          </w:p>
        </w:tc>
        <w:tc>
          <w:tcPr>
            <w:tcW w:w="1231"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29.462</w:t>
            </w:r>
          </w:p>
        </w:tc>
        <w:tc>
          <w:tcPr>
            <w:tcW w:w="106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&lt;0.001</w:t>
            </w:r>
          </w:p>
        </w:tc>
      </w:tr>
      <w:tr>
        <w:trPr>
          <w:trHeight w:val="270" w:hRule="atLeast"/>
        </w:trPr>
        <w:tc>
          <w:tcPr>
            <w:tcW w:w="1795"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城镇</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99</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47(38.52)</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37(69.81)</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15(100.00)</w:t>
            </w:r>
          </w:p>
        </w:tc>
        <w:tc>
          <w:tcPr>
            <w:tcW w:w="1231"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067"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r>
      <w:tr>
        <w:trPr>
          <w:trHeight w:val="270" w:hRule="atLeast"/>
        </w:trPr>
        <w:tc>
          <w:tcPr>
            <w:tcW w:w="1795"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文化程度</w:t>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初中及以下</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95</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80(65.57)</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13(24.53)</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2(13.33)</w:t>
            </w:r>
          </w:p>
        </w:tc>
        <w:tc>
          <w:tcPr>
            <w:tcW w:w="1231"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44.344</w:t>
            </w:r>
          </w:p>
        </w:tc>
        <w:tc>
          <w:tcPr>
            <w:tcW w:w="106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&lt;0.001</w:t>
            </w:r>
          </w:p>
        </w:tc>
      </w:tr>
      <w:tr>
        <w:trPr>
          <w:trHeight w:val="270" w:hRule="atLeast"/>
        </w:trPr>
        <w:tc>
          <w:tcPr>
            <w:tcW w:w="1795"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中专</w:t>
            </w:r>
            <w:r>
              <w:rPr>
                <w:rFonts w:ascii="Times New Roman" w:hAnsi="Times New Roman" w:eastAsia="宋体"/>
                <w:sz w:val="24"/>
                <w:szCs w:val="24"/>
                <w:color w:val="000000"/>
                <w:kern w:val="0"/>
              </w:rPr>
              <w:t>/</w:t>
            </w:r>
            <w:r>
              <w:rPr>
                <w:rFonts w:ascii="Times New Roman" w:hAnsi="Times New Roman" w:eastAsia="宋体"/>
                <w:sz w:val="24"/>
                <w:szCs w:val="24"/>
                <w:color w:val="000000"/>
                <w:kern w:val="0"/>
              </w:rPr>
              <w:t>高中</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57</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33(27.05)</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20(37.74)</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4(26.67)</w:t>
            </w:r>
          </w:p>
        </w:tc>
        <w:tc>
          <w:tcPr>
            <w:tcW w:w="1231"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067"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r>
      <w:tr>
        <w:trPr>
          <w:trHeight w:val="270" w:hRule="atLeast"/>
        </w:trPr>
        <w:tc>
          <w:tcPr>
            <w:tcW w:w="1795"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大专及以上</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38</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9(7.38)</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20(37.74)</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9(60.00)</w:t>
            </w:r>
          </w:p>
        </w:tc>
        <w:tc>
          <w:tcPr>
            <w:tcW w:w="1231"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067"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r>
      <w:tr>
        <w:trPr>
          <w:trHeight w:val="270" w:hRule="atLeast"/>
        </w:trPr>
        <w:tc>
          <w:tcPr>
            <w:tcW w:w="1795" w:type="dxa"/>
            <w:tcBorders>
              <w:bottom w:val="single" w:color="000000" w:sz="12" w:space="0"/>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家庭月收入</w:t>
            </w:r>
          </w:p>
        </w:tc>
        <w:tc>
          <w:tcPr>
            <w:tcW w:w="1398" w:type="dxa"/>
            <w:tcBorders>
              <w:bottom w:val="single" w:color="000000" w:sz="12" w:space="0"/>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&lt;3000</w:t>
            </w:r>
            <w:r>
              <w:rPr>
                <w:rFonts w:ascii="Times New Roman" w:hAnsi="Times New Roman" w:eastAsia="宋体"/>
                <w:sz w:val="24"/>
                <w:szCs w:val="24"/>
                <w:color w:val="000000"/>
                <w:kern w:val="0"/>
              </w:rPr>
              <w:t>元</w:t>
            </w:r>
          </w:p>
        </w:tc>
        <w:tc>
          <w:tcPr>
            <w:tcW w:w="847" w:type="dxa"/>
            <w:tcBorders>
              <w:bottom w:val="single" w:color="000000" w:sz="12" w:space="0"/>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73</w:t>
            </w:r>
          </w:p>
        </w:tc>
        <w:tc>
          <w:tcPr>
            <w:tcW w:w="1450" w:type="dxa"/>
            <w:tcBorders>
              <w:bottom w:val="single" w:color="000000" w:sz="12" w:space="0"/>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66(54.10)</w:t>
            </w:r>
          </w:p>
        </w:tc>
        <w:tc>
          <w:tcPr>
            <w:tcW w:w="1450" w:type="dxa"/>
            <w:tcBorders>
              <w:bottom w:val="single" w:color="000000" w:sz="12" w:space="0"/>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7(13.21)</w:t>
            </w:r>
          </w:p>
        </w:tc>
        <w:tc>
          <w:tcPr>
            <w:tcW w:w="1519" w:type="dxa"/>
            <w:tcBorders>
              <w:bottom w:val="single" w:color="000000" w:sz="12" w:space="0"/>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0(0.00)</w:t>
            </w:r>
          </w:p>
        </w:tc>
        <w:tc>
          <w:tcPr>
            <w:tcW w:w="1231" w:type="dxa"/>
            <w:tcBorders>
              <w:bottom w:val="single" w:color="000000" w:sz="12" w:space="0"/>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42.633</w:t>
            </w:r>
          </w:p>
        </w:tc>
        <w:tc>
          <w:tcPr>
            <w:tcW w:w="1067" w:type="dxa"/>
            <w:tcBorders>
              <w:bottom w:val="single" w:color="000000" w:sz="12" w:space="0"/>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&lt;0.001</w:t>
            </w:r>
          </w:p>
        </w:tc>
      </w:tr>
    </w:tbl>
    <w:p>
      <w:pPr>
        <w:spacing w:line="360" w:lineRule="auto"/>
        <w:ind w:firstLineChars="0"/>
        <w:jc w:val="center"/>
        <w:rPr>
          <w:rFonts w:ascii="宋体" w:hAnsi="宋体" w:eastAsia="宋体" w:cs="宋体"/>
          <w:sz w:val="24"/>
          <w:szCs w:val="24"/>
        </w:rPr>
      </w:pPr>
      <w:r>
        <w:rPr>
          <w:rFonts w:ascii="Times New Roman" w:hAnsi="Times New Roman" w:eastAsia="宋体"/>
          <w:sz w:val="21"/>
          <w:szCs w:val="21"/>
        </w:rPr>
        <w:t>续表</w:t>
      </w:r>
      <w:r>
        <w:rPr>
          <w:rFonts w:ascii="Times New Roman" w:hAnsi="Times New Roman" w:eastAsia="宋体"/>
          <w:sz w:val="21"/>
          <w:szCs w:val="21"/>
        </w:rPr>
        <w:t xml:space="preserve">4-1 </w:t>
      </w:r>
      <w:r>
        <w:rPr>
          <w:rFonts w:ascii="Times New Roman" w:hAnsi="Times New Roman" w:eastAsia="宋体"/>
          <w:sz w:val="21"/>
          <w:szCs w:val="21"/>
        </w:rPr>
        <w:t>社区二型糖尿病患者疾病认知水平的单因素分析</w:t>
      </w:r>
      <w:r>
        <w:rPr>
          <w:rFonts w:ascii="Times New Roman" w:hAnsi="Times New Roman" w:eastAsia="宋体"/>
          <w:sz w:val="21"/>
          <w:szCs w:val="21"/>
        </w:rPr>
        <w:t>[n(%)]</w:t>
      </w:r>
    </w:p>
    <w:tbl>
      <w:tblPr>
        <w:tblW w:w="5750" w:type="pct"/>
        <w:jc w:val="left"/>
        <w:tblInd w:w="-682" w:type="dxa"/>
        <w:tblLayout w:type="fixed"/>
        <w:tblCellMar>
          <w:top w:w="0" w:type="dxa"/>
          <w:start w:w="108" w:type="dxa"/>
          <w:bottom w:w="0" w:type="dxa"/>
          <w:end w:w="108" w:type="dxa"/>
        </w:tblCellMar>
      </w:tblPr>
      <w:tblGrid>
        <w:gridCol w:w="1795"/>
        <w:gridCol w:w="1398"/>
        <w:gridCol w:w="847"/>
        <w:gridCol w:w="1450"/>
        <w:gridCol w:w="1450"/>
        <w:gridCol w:w="1519"/>
        <w:gridCol w:w="1231"/>
        <w:gridCol w:w="1067"/>
      </w:tblGrid>
      <w:tr>
        <w:trPr>
          <w:trHeight w:val="270" w:hRule="atLeast"/>
        </w:trPr>
        <w:tc>
          <w:tcPr>
            <w:tcW w:w="3193" w:type="dxa"/>
            <w:gridSpan w:val="2"/>
            <w:tcBorders>
              <w:top w:val="single" w:color="000000" w:sz="12" w:space="0"/>
              <w:bottom w:val="single" w:color="000000" w:sz="8" w:space="0"/>
            </w:tcBorders>
            <w:vAlign w:val="center"/>
          </w:tcPr>
          <w:p>
            <w:pPr>
              <w:spacing w:line="360" w:lineRule="auto"/>
              <w:ind w:firstLineChars="200"/>
              <w:jc w:val="both"/>
              <w:rPr>
                <w:rFonts w:ascii="宋体" w:hAnsi="宋体" w:eastAsia="宋体" w:cs="宋体"/>
                <w:color w:val="000000"/>
                <w:kern w:val="0"/>
                <w:sz w:val="24"/>
                <w:szCs w:val="24"/>
              </w:rPr>
            </w:pPr>
            <w:r>
              <w:rPr>
                <w:rFonts w:ascii="Times New Roman" w:hAnsi="Times New Roman" w:eastAsia="宋体"/>
                <w:sz w:val="24"/>
                <w:szCs w:val="24"/>
              </w:rPr>
              <w:t>因素</w:t>
            </w:r>
          </w:p>
        </w:tc>
        <w:tc>
          <w:tcPr>
            <w:tcW w:w="847" w:type="dxa"/>
            <w:tcBorders>
              <w:top w:val="single" w:color="000000" w:sz="12" w:space="0"/>
              <w:bottom w:val="single" w:color="000000" w:sz="8" w:space="0"/>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rPr>
              <w:t>n</w:t>
            </w:r>
          </w:p>
        </w:tc>
        <w:tc>
          <w:tcPr>
            <w:tcW w:w="1450" w:type="dxa"/>
            <w:tcBorders>
              <w:top w:val="single" w:color="000000" w:sz="12" w:space="0"/>
              <w:bottom w:val="single" w:color="000000" w:sz="8" w:space="0"/>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rPr>
              <w:t>认知差组</w:t>
            </w:r>
            <w:r>
              <w:rPr>
                <w:rFonts w:ascii="Times New Roman" w:hAnsi="Times New Roman" w:eastAsia="宋体"/>
                <w:sz w:val="24"/>
                <w:szCs w:val="24"/>
              </w:rPr>
              <w:t>(n=122)</w:t>
            </w:r>
          </w:p>
        </w:tc>
        <w:tc>
          <w:tcPr>
            <w:tcW w:w="1450" w:type="dxa"/>
            <w:tcBorders>
              <w:top w:val="single" w:color="000000" w:sz="12" w:space="0"/>
              <w:bottom w:val="single" w:color="000000" w:sz="8" w:space="0"/>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rPr>
              <w:t>认知一般组</w:t>
            </w:r>
            <w:r>
              <w:rPr>
                <w:rFonts w:ascii="Times New Roman" w:hAnsi="Times New Roman" w:eastAsia="宋体"/>
                <w:sz w:val="24"/>
                <w:szCs w:val="24"/>
              </w:rPr>
              <w:t>(n=53)</w:t>
            </w:r>
          </w:p>
        </w:tc>
        <w:tc>
          <w:tcPr>
            <w:tcW w:w="1519" w:type="dxa"/>
            <w:tcBorders>
              <w:top w:val="single" w:color="000000" w:sz="12" w:space="0"/>
              <w:bottom w:val="single" w:color="000000" w:sz="8" w:space="0"/>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rPr>
              <w:t>认知良好组</w:t>
            </w:r>
            <w:r>
              <w:rPr>
                <w:rFonts w:ascii="Times New Roman" w:hAnsi="Times New Roman" w:eastAsia="宋体"/>
                <w:sz w:val="24"/>
                <w:szCs w:val="24"/>
              </w:rPr>
              <w:t>(n=15)</w:t>
            </w:r>
          </w:p>
        </w:tc>
        <w:tc>
          <w:tcPr>
            <w:tcW w:w="1231" w:type="dxa"/>
            <w:tcBorders>
              <w:top w:val="single" w:color="000000" w:sz="12" w:space="0"/>
              <w:bottom w:val="single" w:color="000000" w:sz="8" w:space="0"/>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rPr>
              <w:sym w:font="Symbol" w:char="63"/>
            </w:r>
            <w:r>
              <w:rPr>
                <w:rFonts w:ascii="Times New Roman" w:hAnsi="Times New Roman" w:eastAsia="宋体"/>
                <w:sz w:val="24"/>
                <w:szCs w:val="24"/>
              </w:rPr>
              <w:t>2/Z</w:t>
            </w:r>
          </w:p>
        </w:tc>
        <w:tc>
          <w:tcPr>
            <w:tcW w:w="1067" w:type="dxa"/>
            <w:tcBorders>
              <w:top w:val="single" w:color="000000" w:sz="12" w:space="0"/>
              <w:bottom w:val="single" w:color="000000" w:sz="8" w:space="0"/>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rPr>
              <w:t>P</w:t>
            </w:r>
          </w:p>
        </w:tc>
      </w:tr>
      <w:tr>
        <w:trPr>
          <w:trHeight w:val="270" w:hRule="atLeast"/>
        </w:trPr>
        <w:tc>
          <w:tcPr>
            <w:tcW w:w="1795" w:type="dxa"/>
            <w:tcBorders>
              <w:top w:val="single" w:color="000000" w:sz="8" w:space="0"/>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398" w:type="dxa"/>
            <w:tcBorders>
              <w:top w:val="single" w:color="000000" w:sz="8" w:space="0"/>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3000-6000</w:t>
            </w:r>
            <w:r>
              <w:rPr>
                <w:rFonts w:ascii="Times New Roman" w:hAnsi="Times New Roman" w:eastAsia="宋体"/>
                <w:sz w:val="24"/>
                <w:szCs w:val="24"/>
                <w:color w:val="000000"/>
                <w:kern w:val="0"/>
              </w:rPr>
              <w:t>元</w:t>
            </w:r>
          </w:p>
        </w:tc>
        <w:tc>
          <w:tcPr>
            <w:tcW w:w="847" w:type="dxa"/>
            <w:tcBorders>
              <w:top w:val="single" w:color="000000" w:sz="8" w:space="0"/>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55</w:t>
            </w:r>
          </w:p>
        </w:tc>
        <w:tc>
          <w:tcPr>
            <w:tcW w:w="1450" w:type="dxa"/>
            <w:tcBorders>
              <w:top w:val="single" w:color="000000" w:sz="8" w:space="0"/>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32(26.23)</w:t>
            </w:r>
          </w:p>
        </w:tc>
        <w:tc>
          <w:tcPr>
            <w:tcW w:w="1450" w:type="dxa"/>
            <w:tcBorders>
              <w:top w:val="single" w:color="000000" w:sz="8" w:space="0"/>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20(37.74)</w:t>
            </w:r>
          </w:p>
        </w:tc>
        <w:tc>
          <w:tcPr>
            <w:tcW w:w="1519" w:type="dxa"/>
            <w:tcBorders>
              <w:top w:val="single" w:color="000000" w:sz="8" w:space="0"/>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3(20.00)</w:t>
            </w:r>
          </w:p>
        </w:tc>
        <w:tc>
          <w:tcPr>
            <w:tcW w:w="1231" w:type="dxa"/>
            <w:tcBorders>
              <w:top w:val="single" w:color="000000" w:sz="8" w:space="0"/>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067" w:type="dxa"/>
            <w:tcBorders>
              <w:top w:val="single" w:color="000000" w:sz="8" w:space="0"/>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r>
      <w:tr>
        <w:trPr>
          <w:trHeight w:val="270" w:hRule="atLeast"/>
        </w:trPr>
        <w:tc>
          <w:tcPr>
            <w:tcW w:w="1795"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&gt;6000</w:t>
            </w:r>
            <w:r>
              <w:rPr>
                <w:rFonts w:ascii="Times New Roman" w:hAnsi="Times New Roman" w:eastAsia="宋体"/>
                <w:sz w:val="24"/>
                <w:szCs w:val="24"/>
                <w:color w:val="000000"/>
                <w:kern w:val="0"/>
              </w:rPr>
              <w:t>元</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62</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24(19.67)</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26(49.06)</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12(80.00)</w:t>
            </w:r>
          </w:p>
        </w:tc>
        <w:tc>
          <w:tcPr>
            <w:tcW w:w="1231"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067"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r>
      <w:tr>
        <w:trPr>
          <w:trHeight w:val="270" w:hRule="atLeast"/>
        </w:trPr>
        <w:tc>
          <w:tcPr>
            <w:tcW w:w="1795"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吸烟</w:t>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是</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81</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51(41.80)</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29(54.72)</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1(6.67)</w:t>
            </w:r>
          </w:p>
        </w:tc>
        <w:tc>
          <w:tcPr>
            <w:tcW w:w="1231"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11.133</w:t>
            </w:r>
          </w:p>
        </w:tc>
        <w:tc>
          <w:tcPr>
            <w:tcW w:w="1067"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0.004</w:t>
            </w:r>
          </w:p>
        </w:tc>
      </w:tr>
      <w:tr>
        <w:trPr>
          <w:trHeight w:val="270" w:hRule="atLeast"/>
        </w:trPr>
        <w:tc>
          <w:tcPr>
            <w:tcW w:w="1795"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否</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109</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71(58.20)</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24(45.28)</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14(93.33)</w:t>
            </w:r>
          </w:p>
        </w:tc>
        <w:tc>
          <w:tcPr>
            <w:tcW w:w="1231"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067"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r>
      <w:tr>
        <w:trPr>
          <w:trHeight w:val="270" w:hRule="atLeast"/>
        </w:trPr>
        <w:tc>
          <w:tcPr>
            <w:tcW w:w="1795"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饮酒</w:t>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是</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62</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46(37.70)</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14(26.42)</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3(20.00)</w:t>
            </w:r>
          </w:p>
        </w:tc>
        <w:tc>
          <w:tcPr>
            <w:tcW w:w="1231"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3.379</w:t>
            </w:r>
          </w:p>
        </w:tc>
        <w:tc>
          <w:tcPr>
            <w:tcW w:w="1067"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0.185</w:t>
            </w:r>
          </w:p>
        </w:tc>
      </w:tr>
      <w:tr>
        <w:trPr>
          <w:trHeight w:val="270" w:hRule="atLeast"/>
        </w:trPr>
        <w:tc>
          <w:tcPr>
            <w:tcW w:w="1795"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否</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127</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76(62.30)</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39(73.58)</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12(80.00)</w:t>
            </w:r>
          </w:p>
        </w:tc>
        <w:tc>
          <w:tcPr>
            <w:tcW w:w="1231"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067"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r>
      <w:tr>
        <w:trPr>
          <w:trHeight w:val="270" w:hRule="atLeast"/>
        </w:trPr>
        <w:tc>
          <w:tcPr>
            <w:tcW w:w="1795"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病程</w:t>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&lt;3</w:t>
            </w:r>
            <w:r>
              <w:rPr>
                <w:rFonts w:ascii="Times New Roman" w:hAnsi="Times New Roman" w:eastAsia="宋体"/>
                <w:sz w:val="24"/>
                <w:szCs w:val="24"/>
                <w:color w:val="000000"/>
                <w:kern w:val="0"/>
              </w:rPr>
              <w:t>年</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61</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38(31.15)</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20(37.74)</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3(20.00)</w:t>
            </w:r>
          </w:p>
        </w:tc>
        <w:tc>
          <w:tcPr>
            <w:tcW w:w="1231"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5.105</w:t>
            </w:r>
          </w:p>
        </w:tc>
        <w:tc>
          <w:tcPr>
            <w:tcW w:w="1067"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0.078</w:t>
            </w:r>
          </w:p>
        </w:tc>
      </w:tr>
      <w:tr>
        <w:trPr>
          <w:trHeight w:val="270" w:hRule="atLeast"/>
        </w:trPr>
        <w:tc>
          <w:tcPr>
            <w:tcW w:w="1795"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3-9</w:t>
            </w:r>
            <w:r>
              <w:rPr>
                <w:rFonts w:ascii="Times New Roman" w:hAnsi="Times New Roman" w:eastAsia="宋体"/>
                <w:sz w:val="24"/>
                <w:szCs w:val="24"/>
                <w:color w:val="000000"/>
                <w:kern w:val="0"/>
              </w:rPr>
              <w:t>年</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85</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60(49.18)</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21(39.62)</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4(26.67)</w:t>
            </w:r>
          </w:p>
        </w:tc>
        <w:tc>
          <w:tcPr>
            <w:tcW w:w="1231"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067"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r>
      <w:tr>
        <w:trPr>
          <w:trHeight w:val="270" w:hRule="atLeast"/>
        </w:trPr>
        <w:tc>
          <w:tcPr>
            <w:tcW w:w="1795"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&gt;9</w:t>
            </w:r>
            <w:r>
              <w:rPr>
                <w:rFonts w:ascii="Times New Roman" w:hAnsi="Times New Roman" w:eastAsia="宋体"/>
                <w:sz w:val="24"/>
                <w:szCs w:val="24"/>
                <w:color w:val="000000"/>
                <w:kern w:val="0"/>
              </w:rPr>
              <w:t>年</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44</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24(19.67)</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12(22.64)</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8(53.33)</w:t>
            </w:r>
          </w:p>
        </w:tc>
        <w:tc>
          <w:tcPr>
            <w:tcW w:w="1231"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067"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r>
      <w:tr>
        <w:trPr>
          <w:trHeight w:val="270" w:hRule="atLeast"/>
        </w:trPr>
        <w:tc>
          <w:tcPr>
            <w:tcW w:w="1795"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空腹血糖</w:t>
            </w:r>
            <w:r>
              <w:rPr>
                <w:rFonts w:ascii="Times New Roman" w:hAnsi="Times New Roman" w:eastAsia="宋体"/>
                <w:sz w:val="24"/>
                <w:szCs w:val="24"/>
                <w:color w:val="000000"/>
                <w:kern w:val="0"/>
              </w:rPr>
              <w:t>(FBG)</w:t>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&lt;7</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106</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71(58.20)</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31(58.49)</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4(26.67)</w:t>
            </w:r>
          </w:p>
        </w:tc>
        <w:tc>
          <w:tcPr>
            <w:tcW w:w="1231"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5.601</w:t>
            </w:r>
          </w:p>
        </w:tc>
        <w:tc>
          <w:tcPr>
            <w:tcW w:w="1067"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0.061</w:t>
            </w:r>
          </w:p>
        </w:tc>
      </w:tr>
      <w:tr>
        <w:trPr>
          <w:trHeight w:val="270" w:hRule="atLeast"/>
        </w:trPr>
        <w:tc>
          <w:tcPr>
            <w:tcW w:w="1795"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&gt;7</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84</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51(41.80)</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22(41.51)</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11(73.33)</w:t>
            </w:r>
          </w:p>
        </w:tc>
        <w:tc>
          <w:tcPr>
            <w:tcW w:w="1231"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067"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r>
      <w:tr>
        <w:trPr>
          <w:trHeight w:val="270" w:hRule="atLeast"/>
        </w:trPr>
        <w:tc>
          <w:tcPr>
            <w:tcW w:w="1795"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糖化血红蛋白</w:t>
            </w:r>
            <w:r>
              <w:rPr>
                <w:rFonts w:ascii="Times New Roman" w:hAnsi="Times New Roman" w:eastAsia="宋体"/>
                <w:sz w:val="24"/>
                <w:szCs w:val="24"/>
                <w:color w:val="000000"/>
                <w:kern w:val="0"/>
              </w:rPr>
              <w:t>(HbA1c )</w:t>
            </w:r>
            <w:r>
              <w:rPr>
                <w:rFonts w:ascii="Times New Roman" w:hAnsi="Times New Roman" w:eastAsia="宋体"/>
                <w:sz w:val="24"/>
                <w:szCs w:val="24"/>
                <w:color w:val="000000"/>
                <w:kern w:val="0"/>
              </w:rPr>
              <w:t>水平</w:t>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&lt;6.5</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50</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31(25.41)</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18(33.96)</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1(6.67)</w:t>
            </w:r>
          </w:p>
        </w:tc>
        <w:tc>
          <w:tcPr>
            <w:tcW w:w="1231"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5.645</w:t>
            </w:r>
          </w:p>
        </w:tc>
        <w:tc>
          <w:tcPr>
            <w:tcW w:w="1067"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0.059</w:t>
            </w:r>
          </w:p>
        </w:tc>
      </w:tr>
      <w:tr>
        <w:trPr>
          <w:trHeight w:val="270" w:hRule="atLeast"/>
        </w:trPr>
        <w:tc>
          <w:tcPr>
            <w:tcW w:w="1795"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398"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6.5-7.5</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103</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64(52.46)</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29(54.72)</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10(66.67)</w:t>
            </w:r>
          </w:p>
        </w:tc>
        <w:tc>
          <w:tcPr>
            <w:tcW w:w="1231"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067"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r>
      <w:tr>
        <w:trPr>
          <w:trHeight w:val="270" w:hRule="atLeast"/>
        </w:trPr>
        <w:tc>
          <w:tcPr>
            <w:tcW w:w="1795"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&gt;7.5</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37</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27(22.13)</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6(11.32)</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4(26.67)</w:t>
            </w:r>
          </w:p>
        </w:tc>
        <w:tc>
          <w:tcPr>
            <w:tcW w:w="1231"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067"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r>
      <w:tr>
        <w:trPr>
          <w:trHeight w:val="270" w:hRule="atLeast"/>
        </w:trPr>
        <w:tc>
          <w:tcPr>
            <w:tcW w:w="1795"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并发症</w:t>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是</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125</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80(65.57)</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33(62.26)</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12(80.00)</w:t>
            </w:r>
          </w:p>
        </w:tc>
        <w:tc>
          <w:tcPr>
            <w:tcW w:w="1231"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1.641</w:t>
            </w:r>
          </w:p>
        </w:tc>
        <w:tc>
          <w:tcPr>
            <w:tcW w:w="1067"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 xml:space="preserve">0.440 </w:t>
            </w:r>
          </w:p>
        </w:tc>
      </w:tr>
      <w:tr>
        <w:trPr>
          <w:trHeight w:val="270" w:hRule="atLeast"/>
        </w:trPr>
        <w:tc>
          <w:tcPr>
            <w:tcW w:w="1795"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否</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65</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42(34.43)</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20(37.74)</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3(20.00)</w:t>
            </w:r>
          </w:p>
        </w:tc>
        <w:tc>
          <w:tcPr>
            <w:tcW w:w="1231"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067"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r>
      <w:tr>
        <w:trPr>
          <w:trHeight w:val="270" w:hRule="atLeast"/>
        </w:trPr>
        <w:tc>
          <w:tcPr>
            <w:tcW w:w="1795"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家族史</w:t>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是</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71</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41(33.61)</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20(37.74)</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10(66.67)</w:t>
            </w:r>
          </w:p>
        </w:tc>
        <w:tc>
          <w:tcPr>
            <w:tcW w:w="1231"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6.242</w:t>
            </w:r>
          </w:p>
        </w:tc>
        <w:tc>
          <w:tcPr>
            <w:tcW w:w="1067"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0.044</w:t>
            </w:r>
          </w:p>
        </w:tc>
      </w:tr>
      <w:tr>
        <w:trPr>
          <w:trHeight w:val="270" w:hRule="atLeast"/>
        </w:trPr>
        <w:tc>
          <w:tcPr>
            <w:tcW w:w="1795"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否</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119</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81(66.39)</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33(62.26)</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5(33.33)</w:t>
            </w:r>
          </w:p>
        </w:tc>
        <w:tc>
          <w:tcPr>
            <w:tcW w:w="1231"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067"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r>
      <w:tr>
        <w:trPr>
          <w:trHeight w:val="270" w:hRule="atLeast"/>
        </w:trPr>
        <w:tc>
          <w:tcPr>
            <w:tcW w:w="1795"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特殊饮食习惯</w:t>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是</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80</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52(42.62)</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20(37.74)</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8(53.33)</w:t>
            </w:r>
          </w:p>
        </w:tc>
        <w:tc>
          <w:tcPr>
            <w:tcW w:w="1231"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1.204</w:t>
            </w:r>
          </w:p>
        </w:tc>
        <w:tc>
          <w:tcPr>
            <w:tcW w:w="1067"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0.548</w:t>
            </w:r>
          </w:p>
        </w:tc>
      </w:tr>
      <w:tr>
        <w:trPr>
          <w:trHeight w:val="270" w:hRule="atLeast"/>
        </w:trPr>
        <w:tc>
          <w:tcPr>
            <w:tcW w:w="1795"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否</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110</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70(57.38)</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33(62.26)</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7(46.67)</w:t>
            </w:r>
          </w:p>
        </w:tc>
        <w:tc>
          <w:tcPr>
            <w:tcW w:w="1231"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067"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r>
      <w:tr>
        <w:trPr>
          <w:trHeight w:val="270" w:hRule="atLeast"/>
        </w:trPr>
        <w:tc>
          <w:tcPr>
            <w:tcW w:w="1795"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接受过健康教育</w:t>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是</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65</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18(14.75)</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34(64.15)</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13(86.67)</w:t>
            </w:r>
          </w:p>
        </w:tc>
        <w:tc>
          <w:tcPr>
            <w:tcW w:w="1231"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59.968</w:t>
            </w:r>
          </w:p>
        </w:tc>
        <w:tc>
          <w:tcPr>
            <w:tcW w:w="106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&lt;0.001</w:t>
            </w:r>
          </w:p>
        </w:tc>
      </w:tr>
      <w:tr>
        <w:trPr>
          <w:trHeight w:val="285" w:hRule="atLeast"/>
        </w:trPr>
        <w:tc>
          <w:tcPr>
            <w:tcW w:w="1795" w:type="dxa"/>
            <w:tcBorders>
              <w:bottom w:val="single" w:color="000000" w:sz="12" w:space="0"/>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398" w:type="dxa"/>
            <w:tcBorders>
              <w:bottom w:val="single" w:color="000000" w:sz="12" w:space="0"/>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否</w:t>
            </w:r>
          </w:p>
        </w:tc>
        <w:tc>
          <w:tcPr>
            <w:tcW w:w="847" w:type="dxa"/>
            <w:tcBorders>
              <w:bottom w:val="single" w:color="000000" w:sz="12" w:space="0"/>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125</w:t>
            </w:r>
          </w:p>
        </w:tc>
        <w:tc>
          <w:tcPr>
            <w:tcW w:w="1450" w:type="dxa"/>
            <w:tcBorders>
              <w:bottom w:val="single" w:color="000000" w:sz="12" w:space="0"/>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104(85.25)</w:t>
            </w:r>
          </w:p>
        </w:tc>
        <w:tc>
          <w:tcPr>
            <w:tcW w:w="1450" w:type="dxa"/>
            <w:tcBorders>
              <w:bottom w:val="single" w:color="000000" w:sz="12" w:space="0"/>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19(35.85)</w:t>
            </w:r>
          </w:p>
        </w:tc>
        <w:tc>
          <w:tcPr>
            <w:tcW w:w="1519" w:type="dxa"/>
            <w:tcBorders>
              <w:bottom w:val="single" w:color="000000" w:sz="12" w:space="0"/>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2(13.33)</w:t>
            </w:r>
          </w:p>
        </w:tc>
        <w:tc>
          <w:tcPr>
            <w:tcW w:w="1231" w:type="dxa"/>
            <w:tcBorders>
              <w:bottom w:val="single" w:color="000000" w:sz="12" w:space="0"/>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067" w:type="dxa"/>
            <w:tcBorders>
              <w:bottom w:val="single" w:color="000000" w:sz="12" w:space="0"/>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r>
    </w:tbl>
    <w:p>
      <w:pPr>
        <w:pStyle w:val="Normal"/>
        <w:spacing w:line="360" w:lineRule="auto"/>
        <w:rPr>
          <w:rFonts w:ascii="宋体;SimSun" w:hAnsi="宋体;SimSun" w:cs="宋体;SimSun"/>
          <w:szCs w:val="21"/>
        </w:rPr>
      </w:pPr>
      <w:r>
        <w:rPr>
          <w:rFonts w:ascii="宋体;SimSun" w:hAnsi="宋体;SimSun" w:cs="宋体;SimSun"/>
          <w:szCs w:val="21"/>
        </w:rPr>
      </w:r>
    </w:p>
    <w:p>
      <w:pPr>
        <w:spacing w:line="360" w:lineRule="auto"/>
        <w:ind w:firstLineChars="200"/>
        <w:jc w:val="both"/>
        <w:numPr>
          <w:ilvl w:val="0"/>
          <w:numId w:val="0"/>
        </w:numPr>
        <w:outlineLvl w:val="1"/>
        <w:rPr>
          <w:rFonts w:ascii="宋体" w:hAnsi="宋体" w:eastAsia="宋体" w:cs="宋体"/>
          <w:b/>
          <w:bCs/>
          <w:sz w:val="30"/>
          <w:szCs w:val="30"/>
        </w:rPr>
      </w:pPr>
      <w:bookmarkStart w:name="__RefHeading___Toc224858195" w:id="26"/>
      <w:bookmarkEnd w:id="26"/>
      <w:r>
        <w:rPr>
          <w:rFonts w:ascii="Times New Roman" w:hAnsi="Times New Roman" w:eastAsia="宋体"/>
          <w:sz w:val="24"/>
          <w:szCs w:val="24"/>
        </w:rPr>
        <w:t>4.2</w:t>
      </w:r>
      <w:r>
        <w:rPr>
          <w:rFonts w:ascii="Times New Roman" w:hAnsi="Times New Roman" w:eastAsia="宋体"/>
          <w:sz w:val="24"/>
          <w:szCs w:val="24"/>
        </w:rPr>
        <w:t>糖尿病患者疾病知识认知水平的多因素分析</w:t>
      </w:r>
    </w:p>
    <w:p>
      <w:pPr>
        <w:spacing w:line="360" w:lineRule="auto"/>
        <w:ind w:firstLineChars="200"/>
        <w:jc w:val="both"/>
        <w:tabs>
          <w:tab w:val="clear" w:pos="420"/>
          <w:tab w:val="left" w:leader="none" w:pos="7463"/>
        </w:tabs>
        <w:rPr>
          <w:rFonts w:ascii="宋体" w:hAnsi="宋体" w:eastAsia="宋体" w:cs="宋体"/>
          <w:sz w:val="24"/>
          <w:szCs w:val="24"/>
        </w:rPr>
      </w:pPr>
      <w:r>
        <w:rPr>
          <w:rFonts w:ascii="Times New Roman" w:hAnsi="Times New Roman" w:eastAsia="宋体"/>
          <w:sz w:val="24"/>
          <w:szCs w:val="24"/>
        </w:rPr>
        <w:t>多因素分析显示，年龄、文化程度、家庭月收入、接受过健康教育</w:t>
      </w:r>
      <w:r>
        <w:rPr>
          <w:rFonts w:ascii="Times New Roman" w:hAnsi="Times New Roman" w:eastAsia="宋体"/>
          <w:sz w:val="24"/>
          <w:szCs w:val="24"/>
        </w:rPr>
        <w:tab/>
      </w:r>
      <w:r>
        <w:rPr>
          <w:rFonts w:ascii="Times New Roman" w:hAnsi="Times New Roman" w:eastAsia="宋体"/>
          <w:sz w:val="24"/>
          <w:szCs w:val="24"/>
        </w:rPr>
        <w:t>是社区二型糖尿病患者疾病认知水平的影响因素（</w:t>
      </w:r>
      <w:r>
        <w:rPr>
          <w:rFonts w:ascii="Times New Roman" w:hAnsi="Times New Roman" w:eastAsia="宋体"/>
          <w:sz w:val="24"/>
          <w:szCs w:val="24"/>
        </w:rPr>
        <w:t>P</w:t>
      </w:r>
      <w:r>
        <w:rPr>
          <w:rFonts w:ascii="Times New Roman" w:hAnsi="Times New Roman" w:eastAsia="宋体"/>
          <w:sz w:val="24"/>
          <w:szCs w:val="24"/>
        </w:rPr>
        <w:t>＜</w:t>
      </w:r>
      <w:r>
        <w:rPr>
          <w:rFonts w:ascii="Times New Roman" w:hAnsi="Times New Roman" w:eastAsia="宋体"/>
          <w:sz w:val="24"/>
          <w:szCs w:val="24"/>
        </w:rPr>
        <w:t>0.05</w:t>
      </w:r>
      <w:r>
        <w:rPr>
          <w:rFonts w:ascii="Times New Roman" w:hAnsi="Times New Roman" w:eastAsia="宋体"/>
          <w:sz w:val="24"/>
          <w:szCs w:val="24"/>
        </w:rPr>
        <w:t>），即年龄越小、文化程度越高、家庭月收入越高、接受过健康教育的患者疾病认知水平越高。见表</w:t>
      </w:r>
      <w:r>
        <w:rPr>
          <w:rFonts w:ascii="Times New Roman" w:hAnsi="Times New Roman" w:eastAsia="宋体"/>
          <w:sz w:val="24"/>
          <w:szCs w:val="24"/>
        </w:rPr>
        <w:t>4-2</w:t>
      </w:r>
    </w:p>
    <w:p>
      <w:pPr>
        <w:spacing w:line="360" w:lineRule="auto"/>
        <w:ind w:firstLineChars="0"/>
        <w:jc w:val="center"/>
        <w:rPr>
          <w:rFonts w:ascii="宋体" w:hAnsi="宋体" w:eastAsia="宋体" w:cs="宋体"/>
          <w:sz w:val="24"/>
          <w:szCs w:val="24"/>
        </w:rPr>
      </w:pPr>
      <w:r>
        <w:rPr>
          <w:rFonts w:ascii="Times New Roman" w:hAnsi="Times New Roman" w:eastAsia="宋体"/>
          <w:sz w:val="21"/>
          <w:szCs w:val="21"/>
        </w:rPr>
        <w:t>表</w:t>
      </w:r>
      <w:r>
        <w:rPr>
          <w:rFonts w:ascii="Times New Roman" w:hAnsi="Times New Roman" w:eastAsia="宋体"/>
          <w:sz w:val="21"/>
          <w:szCs w:val="21"/>
        </w:rPr>
        <w:t xml:space="preserve">4-2 </w:t>
      </w:r>
      <w:r>
        <w:rPr>
          <w:rFonts w:ascii="Times New Roman" w:hAnsi="Times New Roman" w:eastAsia="宋体"/>
          <w:sz w:val="21"/>
          <w:szCs w:val="21"/>
        </w:rPr>
        <w:t>糖尿病知识水平影响因素的多分类</w:t>
      </w:r>
      <w:r>
        <w:rPr>
          <w:rFonts w:ascii="Times New Roman" w:hAnsi="Times New Roman" w:eastAsia="宋体"/>
          <w:sz w:val="21"/>
          <w:szCs w:val="21"/>
        </w:rPr>
        <w:t>logistic</w:t>
      </w:r>
      <w:r>
        <w:rPr>
          <w:rFonts w:ascii="Times New Roman" w:hAnsi="Times New Roman" w:eastAsia="宋体"/>
          <w:sz w:val="21"/>
          <w:szCs w:val="21"/>
        </w:rPr>
        <w:t>回归分析</w:t>
      </w:r>
    </w:p>
    <w:tbl>
      <w:tblPr>
        <w:tblW w:w="5000" w:type="pct"/>
        <w:jc w:val="left"/>
        <w:tblInd w:w="0" w:type="dxa"/>
        <w:tblLayout w:type="fixed"/>
        <w:tblCellMar>
          <w:top w:w="0" w:type="dxa"/>
          <w:start w:w="108" w:type="dxa"/>
          <w:bottom w:w="0" w:type="dxa"/>
          <w:end w:w="108" w:type="dxa"/>
        </w:tblCellMar>
      </w:tblPr>
      <w:tblGrid>
        <w:gridCol w:w="2318"/>
        <w:gridCol w:w="1125"/>
        <w:gridCol w:w="946"/>
        <w:gridCol w:w="1124"/>
        <w:gridCol w:w="1029"/>
        <w:gridCol w:w="1057"/>
        <w:gridCol w:w="1755"/>
      </w:tblGrid>
      <w:tr>
        <w:trPr>
          <w:trHeight w:val="300" w:hRule="atLeast"/>
        </w:trPr>
        <w:tc>
          <w:tcPr>
            <w:tcW w:w="2318" w:type="dxa"/>
            <w:tcBorders>
              <w:top w:val="single" w:color="000000" w:sz="12" w:space="0"/>
              <w:bottom w:val="single" w:color="000000" w:sz="8" w:space="0"/>
            </w:tcBorders>
            <w:vAlign w:val="center"/>
          </w:tcPr>
          <w:p>
            <w:pPr>
              <w:spacing w:line="360" w:lineRule="auto"/>
              <w:ind w:firstLineChars="200"/>
              <w:jc w:val="both"/>
              <w:widowControl/>
              <w:textAlignment w:val="center"/>
              <w:rPr>
                <w:rFonts w:ascii="宋体" w:hAnsi="宋体" w:eastAsia="宋体" w:cs="宋体"/>
                <w:b/>
                <w:bCs/>
                <w:color w:val="000000"/>
                <w:kern w:val="0"/>
                <w:sz w:val="24"/>
                <w:szCs w:val="24"/>
              </w:rPr>
            </w:pPr>
            <w:r>
              <w:rPr>
                <w:rFonts w:ascii="Times New Roman" w:hAnsi="Times New Roman" w:eastAsia="宋体"/>
                <w:sz w:val="24"/>
                <w:szCs w:val="24"/>
                <w:color w:val="000000"/>
                <w:kern w:val="0"/>
              </w:rPr>
              <w:t>自变量</w:t>
            </w:r>
          </w:p>
        </w:tc>
        <w:tc>
          <w:tcPr>
            <w:tcW w:w="1125" w:type="dxa"/>
            <w:tcBorders>
              <w:top w:val="single" w:color="000000" w:sz="12" w:space="0"/>
              <w:bottom w:val="single" w:color="000000" w:sz="8" w:space="0"/>
            </w:tcBorders>
            <w:vAlign w:val="center"/>
          </w:tcPr>
          <w:p>
            <w:pPr>
              <w:spacing w:line="360" w:lineRule="auto"/>
              <w:ind w:firstLineChars="200"/>
              <w:jc w:val="both"/>
              <w:widowControl/>
              <w:textAlignment w:val="center"/>
              <w:rPr>
                <w:rFonts w:ascii="宋体" w:hAnsi="宋体" w:eastAsia="宋体" w:cs="宋体"/>
                <w:b/>
                <w:bCs/>
                <w:color w:val="000000"/>
                <w:kern w:val="0"/>
                <w:sz w:val="24"/>
                <w:szCs w:val="24"/>
              </w:rPr>
            </w:pPr>
            <w:r>
              <w:rPr>
                <w:rFonts w:ascii="Times New Roman" w:hAnsi="Times New Roman" w:eastAsia="宋体"/>
                <w:sz w:val="24"/>
                <w:szCs w:val="24"/>
                <w:color w:val="000000"/>
                <w:kern w:val="0"/>
              </w:rPr>
              <w:t>β</w:t>
            </w:r>
          </w:p>
        </w:tc>
        <w:tc>
          <w:tcPr>
            <w:tcW w:w="946" w:type="dxa"/>
            <w:tcBorders>
              <w:top w:val="single" w:color="000000" w:sz="12" w:space="0"/>
              <w:bottom w:val="single" w:color="000000" w:sz="8" w:space="0"/>
            </w:tcBorders>
            <w:vAlign w:val="center"/>
          </w:tcPr>
          <w:p>
            <w:pPr>
              <w:spacing w:line="360" w:lineRule="auto"/>
              <w:ind w:firstLineChars="200"/>
              <w:jc w:val="both"/>
              <w:widowControl/>
              <w:textAlignment w:val="center"/>
              <w:rPr>
                <w:rFonts w:ascii="宋体" w:hAnsi="宋体" w:eastAsia="宋体" w:cs="宋体"/>
                <w:b/>
                <w:bCs/>
                <w:color w:val="000000"/>
                <w:kern w:val="0"/>
                <w:sz w:val="24"/>
                <w:szCs w:val="24"/>
              </w:rPr>
            </w:pPr>
            <w:r>
              <w:rPr>
                <w:rFonts w:ascii="Times New Roman" w:hAnsi="Times New Roman" w:eastAsia="宋体"/>
                <w:sz w:val="24"/>
                <w:szCs w:val="24"/>
                <w:color w:val="000000"/>
                <w:kern w:val="0"/>
              </w:rPr>
              <w:t>SE</w:t>
            </w:r>
          </w:p>
        </w:tc>
        <w:tc>
          <w:tcPr>
            <w:tcW w:w="1124" w:type="dxa"/>
            <w:tcBorders>
              <w:top w:val="single" w:color="000000" w:sz="12" w:space="0"/>
              <w:bottom w:val="single" w:color="000000" w:sz="8" w:space="0"/>
            </w:tcBorders>
            <w:vAlign w:val="center"/>
          </w:tcPr>
          <w:p>
            <w:pPr>
              <w:spacing w:line="360" w:lineRule="auto"/>
              <w:ind w:firstLineChars="200"/>
              <w:jc w:val="both"/>
              <w:widowControl/>
              <w:textAlignment w:val="center"/>
              <w:rPr>
                <w:rFonts w:ascii="宋体" w:hAnsi="宋体" w:eastAsia="宋体" w:cs="宋体"/>
                <w:b/>
                <w:bCs/>
                <w:color w:val="000000"/>
                <w:kern w:val="0"/>
                <w:sz w:val="24"/>
                <w:szCs w:val="24"/>
              </w:rPr>
            </w:pPr>
            <w:r>
              <w:rPr>
                <w:rFonts w:ascii="Times New Roman" w:hAnsi="Times New Roman" w:eastAsia="宋体"/>
                <w:sz w:val="24"/>
                <w:szCs w:val="24"/>
                <w:color w:val="000000"/>
                <w:kern w:val="0"/>
              </w:rPr>
              <w:t>Wald</w:t>
            </w:r>
            <w:r>
              <w:rPr>
                <w:rFonts w:ascii="Times New Roman" w:hAnsi="Times New Roman" w:eastAsia="宋体"/>
                <w:sz w:val="24"/>
                <w:szCs w:val="24"/>
                <w:color w:val="000000"/>
                <w:kern w:val="0"/>
              </w:rPr>
              <w:sym w:font="Symbol" w:char="63"/>
            </w:r>
            <w:r>
              <w:rPr>
                <w:rFonts w:ascii="Times New Roman" w:hAnsi="Times New Roman" w:eastAsia="宋体"/>
                <w:sz w:val="24"/>
                <w:szCs w:val="24"/>
                <w:color w:val="000000"/>
                <w:kern w:val="0"/>
              </w:rPr>
              <w:t>2</w:t>
            </w:r>
          </w:p>
        </w:tc>
        <w:tc>
          <w:tcPr>
            <w:tcW w:w="1029" w:type="dxa"/>
            <w:tcBorders>
              <w:top w:val="single" w:color="000000" w:sz="12" w:space="0"/>
              <w:bottom w:val="single" w:color="000000" w:sz="8" w:space="0"/>
            </w:tcBorders>
            <w:vAlign w:val="center"/>
          </w:tcPr>
          <w:p>
            <w:pPr>
              <w:spacing w:line="360" w:lineRule="auto"/>
              <w:ind w:firstLineChars="200"/>
              <w:jc w:val="both"/>
              <w:widowControl/>
              <w:textAlignment w:val="center"/>
              <w:rPr>
                <w:rFonts w:ascii="宋体" w:hAnsi="宋体" w:eastAsia="宋体" w:cs="宋体"/>
                <w:b/>
                <w:bCs/>
                <w:color w:val="000000"/>
                <w:kern w:val="0"/>
                <w:sz w:val="24"/>
                <w:szCs w:val="24"/>
              </w:rPr>
            </w:pPr>
            <w:r>
              <w:rPr>
                <w:rFonts w:ascii="Times New Roman" w:hAnsi="Times New Roman" w:eastAsia="宋体"/>
                <w:sz w:val="24"/>
                <w:szCs w:val="24"/>
                <w:color w:val="000000"/>
                <w:kern w:val="0"/>
              </w:rPr>
              <w:t>P</w:t>
            </w:r>
          </w:p>
        </w:tc>
        <w:tc>
          <w:tcPr>
            <w:tcW w:w="1057" w:type="dxa"/>
            <w:tcBorders>
              <w:top w:val="single" w:color="000000" w:sz="12" w:space="0"/>
              <w:bottom w:val="single" w:color="000000" w:sz="8" w:space="0"/>
            </w:tcBorders>
            <w:vAlign w:val="center"/>
          </w:tcPr>
          <w:p>
            <w:pPr>
              <w:spacing w:line="360" w:lineRule="auto"/>
              <w:ind w:firstLineChars="200"/>
              <w:jc w:val="both"/>
              <w:widowControl/>
              <w:textAlignment w:val="center"/>
              <w:rPr>
                <w:rFonts w:ascii="宋体" w:hAnsi="宋体" w:eastAsia="宋体" w:cs="宋体"/>
                <w:b/>
                <w:bCs/>
                <w:color w:val="000000"/>
                <w:kern w:val="0"/>
                <w:sz w:val="24"/>
                <w:szCs w:val="24"/>
              </w:rPr>
            </w:pPr>
            <w:r>
              <w:rPr>
                <w:rFonts w:ascii="Times New Roman" w:hAnsi="Times New Roman" w:eastAsia="宋体"/>
                <w:sz w:val="24"/>
                <w:szCs w:val="24"/>
                <w:color w:val="000000"/>
                <w:kern w:val="0"/>
              </w:rPr>
              <w:t>OR</w:t>
            </w:r>
          </w:p>
        </w:tc>
        <w:tc>
          <w:tcPr>
            <w:tcW w:w="1755" w:type="dxa"/>
            <w:tcBorders>
              <w:top w:val="single" w:color="000000" w:sz="12" w:space="0"/>
              <w:bottom w:val="single" w:color="000000" w:sz="8" w:space="0"/>
            </w:tcBorders>
            <w:vAlign w:val="center"/>
          </w:tcPr>
          <w:p>
            <w:pPr>
              <w:spacing w:line="360" w:lineRule="auto"/>
              <w:ind w:firstLineChars="200"/>
              <w:jc w:val="both"/>
              <w:widowControl/>
              <w:textAlignment w:val="center"/>
              <w:rPr>
                <w:rFonts w:ascii="宋体" w:hAnsi="宋体" w:eastAsia="宋体" w:cs="宋体"/>
                <w:b/>
                <w:bCs/>
                <w:color w:val="000000"/>
                <w:kern w:val="0"/>
                <w:sz w:val="24"/>
                <w:szCs w:val="24"/>
              </w:rPr>
            </w:pPr>
            <w:r>
              <w:rPr>
                <w:rFonts w:ascii="Times New Roman" w:hAnsi="Times New Roman" w:eastAsia="宋体"/>
                <w:sz w:val="24"/>
                <w:szCs w:val="24"/>
                <w:color w:val="000000"/>
                <w:kern w:val="0"/>
              </w:rPr>
              <w:t>95%CI</w:t>
            </w:r>
          </w:p>
        </w:tc>
      </w:tr>
      <w:tr>
        <w:trPr>
          <w:trHeight w:val="270" w:hRule="atLeast"/>
        </w:trPr>
        <w:tc>
          <w:tcPr>
            <w:tcW w:w="231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年龄为</w:t>
            </w:r>
            <w:r>
              <w:rPr>
                <w:rFonts w:ascii="Times New Roman" w:hAnsi="Times New Roman" w:eastAsia="宋体"/>
                <w:sz w:val="24"/>
                <w:szCs w:val="24"/>
                <w:color w:val="000000"/>
                <w:kern w:val="0"/>
              </w:rPr>
              <w:t>&lt;40</w:t>
            </w:r>
            <w:r>
              <w:rPr>
                <w:rFonts w:ascii="Times New Roman" w:hAnsi="Times New Roman" w:eastAsia="宋体"/>
                <w:sz w:val="24"/>
                <w:szCs w:val="24"/>
                <w:color w:val="000000"/>
                <w:kern w:val="0"/>
              </w:rPr>
              <w:t>岁</w:t>
            </w:r>
          </w:p>
        </w:tc>
        <w:tc>
          <w:tcPr>
            <w:tcW w:w="1125"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1.932</w:t>
            </w:r>
          </w:p>
        </w:tc>
        <w:tc>
          <w:tcPr>
            <w:tcW w:w="946"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0.769</w:t>
            </w:r>
          </w:p>
        </w:tc>
        <w:tc>
          <w:tcPr>
            <w:tcW w:w="1124"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6.307</w:t>
            </w:r>
          </w:p>
        </w:tc>
        <w:tc>
          <w:tcPr>
            <w:tcW w:w="1029"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0.012</w:t>
            </w:r>
          </w:p>
        </w:tc>
        <w:tc>
          <w:tcPr>
            <w:tcW w:w="1057"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6.903</w:t>
            </w:r>
          </w:p>
        </w:tc>
        <w:tc>
          <w:tcPr>
            <w:tcW w:w="1755"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1.541~30.914</w:t>
            </w:r>
          </w:p>
        </w:tc>
      </w:tr>
      <w:tr>
        <w:trPr>
          <w:trHeight w:val="270" w:hRule="atLeast"/>
        </w:trPr>
        <w:tc>
          <w:tcPr>
            <w:tcW w:w="231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年龄为</w:t>
            </w:r>
            <w:r>
              <w:rPr>
                <w:rFonts w:ascii="Times New Roman" w:hAnsi="Times New Roman" w:eastAsia="宋体"/>
                <w:sz w:val="24"/>
                <w:szCs w:val="24"/>
                <w:color w:val="000000"/>
                <w:kern w:val="0"/>
              </w:rPr>
              <w:t>40-60</w:t>
            </w:r>
            <w:r>
              <w:rPr>
                <w:rFonts w:ascii="Times New Roman" w:hAnsi="Times New Roman" w:eastAsia="宋体"/>
                <w:sz w:val="24"/>
                <w:szCs w:val="24"/>
                <w:color w:val="000000"/>
                <w:kern w:val="0"/>
              </w:rPr>
              <w:t>岁</w:t>
            </w:r>
          </w:p>
        </w:tc>
        <w:tc>
          <w:tcPr>
            <w:tcW w:w="1125"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1.262</w:t>
            </w:r>
          </w:p>
        </w:tc>
        <w:tc>
          <w:tcPr>
            <w:tcW w:w="946"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0.621</w:t>
            </w:r>
          </w:p>
        </w:tc>
        <w:tc>
          <w:tcPr>
            <w:tcW w:w="1124"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4.127</w:t>
            </w:r>
          </w:p>
        </w:tc>
        <w:tc>
          <w:tcPr>
            <w:tcW w:w="1029"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0.042</w:t>
            </w:r>
          </w:p>
        </w:tc>
        <w:tc>
          <w:tcPr>
            <w:tcW w:w="1057"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3.532</w:t>
            </w:r>
          </w:p>
        </w:tc>
        <w:tc>
          <w:tcPr>
            <w:tcW w:w="1755"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1.040~11.997</w:t>
            </w:r>
          </w:p>
        </w:tc>
      </w:tr>
      <w:tr>
        <w:trPr>
          <w:trHeight w:val="270" w:hRule="atLeast"/>
        </w:trPr>
        <w:tc>
          <w:tcPr>
            <w:tcW w:w="231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职业为脑力劳动</w:t>
            </w:r>
          </w:p>
        </w:tc>
        <w:tc>
          <w:tcPr>
            <w:tcW w:w="1125"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-1.144</w:t>
            </w:r>
          </w:p>
        </w:tc>
        <w:tc>
          <w:tcPr>
            <w:tcW w:w="946"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0.646</w:t>
            </w:r>
          </w:p>
        </w:tc>
        <w:tc>
          <w:tcPr>
            <w:tcW w:w="1124"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3.141</w:t>
            </w:r>
          </w:p>
        </w:tc>
        <w:tc>
          <w:tcPr>
            <w:tcW w:w="1029"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0.076</w:t>
            </w:r>
          </w:p>
        </w:tc>
        <w:tc>
          <w:tcPr>
            <w:tcW w:w="1057"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0.318</w:t>
            </w:r>
          </w:p>
        </w:tc>
        <w:tc>
          <w:tcPr>
            <w:tcW w:w="1755"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0.090~1.123</w:t>
            </w:r>
          </w:p>
        </w:tc>
      </w:tr>
      <w:tr>
        <w:trPr>
          <w:trHeight w:val="270" w:hRule="atLeast"/>
        </w:trPr>
        <w:tc>
          <w:tcPr>
            <w:tcW w:w="2318" w:type="dxa"/>
            <w:tcBorders>
              <w:bottom w:val="single" w:color="000000" w:sz="12" w:space="0"/>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职业为体力劳动</w:t>
            </w:r>
          </w:p>
        </w:tc>
        <w:tc>
          <w:tcPr>
            <w:tcW w:w="1125" w:type="dxa"/>
            <w:tcBorders>
              <w:bottom w:val="single" w:color="000000" w:sz="12" w:space="0"/>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-0.683</w:t>
            </w:r>
          </w:p>
        </w:tc>
        <w:tc>
          <w:tcPr>
            <w:tcW w:w="946" w:type="dxa"/>
            <w:tcBorders>
              <w:bottom w:val="single" w:color="000000" w:sz="12" w:space="0"/>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0.621</w:t>
            </w:r>
          </w:p>
        </w:tc>
        <w:tc>
          <w:tcPr>
            <w:tcW w:w="1124" w:type="dxa"/>
            <w:tcBorders>
              <w:bottom w:val="single" w:color="000000" w:sz="12" w:space="0"/>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1.209</w:t>
            </w:r>
          </w:p>
        </w:tc>
        <w:tc>
          <w:tcPr>
            <w:tcW w:w="1029" w:type="dxa"/>
            <w:tcBorders>
              <w:bottom w:val="single" w:color="000000" w:sz="12" w:space="0"/>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0.272</w:t>
            </w:r>
          </w:p>
        </w:tc>
        <w:tc>
          <w:tcPr>
            <w:tcW w:w="1057" w:type="dxa"/>
            <w:tcBorders>
              <w:bottom w:val="single" w:color="000000" w:sz="12" w:space="0"/>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0.505</w:t>
            </w:r>
          </w:p>
        </w:tc>
        <w:tc>
          <w:tcPr>
            <w:tcW w:w="1755" w:type="dxa"/>
            <w:tcBorders>
              <w:bottom w:val="single" w:color="000000" w:sz="12" w:space="0"/>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0.153~1.673</w:t>
            </w:r>
          </w:p>
        </w:tc>
      </w:tr>
    </w:tbl>
    <w:p>
      <w:pPr>
        <w:spacing w:line="360" w:lineRule="auto"/>
        <w:ind w:firstLineChars="0"/>
        <w:jc w:val="center"/>
        <w:rPr>
          <w:rFonts w:ascii="宋体" w:hAnsi="宋体" w:eastAsia="宋体" w:cs="宋体"/>
          <w:sz w:val="24"/>
          <w:szCs w:val="24"/>
        </w:rPr>
      </w:pPr>
      <w:r>
        <w:rPr>
          <w:rFonts w:ascii="Times New Roman" w:hAnsi="Times New Roman" w:eastAsia="宋体"/>
          <w:sz w:val="21"/>
          <w:szCs w:val="21"/>
        </w:rPr>
        <w:t>续表</w:t>
      </w:r>
      <w:r>
        <w:rPr>
          <w:rFonts w:ascii="Times New Roman" w:hAnsi="Times New Roman" w:eastAsia="宋体"/>
          <w:sz w:val="21"/>
          <w:szCs w:val="21"/>
        </w:rPr>
        <w:t xml:space="preserve">4-2 </w:t>
      </w:r>
      <w:r>
        <w:rPr>
          <w:rFonts w:ascii="Times New Roman" w:hAnsi="Times New Roman" w:eastAsia="宋体"/>
          <w:sz w:val="21"/>
          <w:szCs w:val="21"/>
        </w:rPr>
        <w:t>糖尿病知识水平影响因素的多分类</w:t>
      </w:r>
      <w:r>
        <w:rPr>
          <w:rFonts w:ascii="Times New Roman" w:hAnsi="Times New Roman" w:eastAsia="宋体"/>
          <w:sz w:val="21"/>
          <w:szCs w:val="21"/>
        </w:rPr>
        <w:t>logistic</w:t>
      </w:r>
      <w:r>
        <w:rPr>
          <w:rFonts w:ascii="Times New Roman" w:hAnsi="Times New Roman" w:eastAsia="宋体"/>
          <w:sz w:val="21"/>
          <w:szCs w:val="21"/>
        </w:rPr>
        <w:t>回归分析</w:t>
      </w:r>
    </w:p>
    <w:tbl>
      <w:tblPr>
        <w:tblW w:w="5000" w:type="pct"/>
        <w:jc w:val="left"/>
        <w:tblInd w:w="0" w:type="dxa"/>
        <w:tblLayout w:type="fixed"/>
        <w:tblCellMar>
          <w:top w:w="0" w:type="dxa"/>
          <w:start w:w="108" w:type="dxa"/>
          <w:bottom w:w="0" w:type="dxa"/>
          <w:end w:w="108" w:type="dxa"/>
        </w:tblCellMar>
      </w:tblPr>
      <w:tblGrid>
        <w:gridCol w:w="2318"/>
        <w:gridCol w:w="1125"/>
        <w:gridCol w:w="946"/>
        <w:gridCol w:w="1124"/>
        <w:gridCol w:w="1029"/>
        <w:gridCol w:w="1057"/>
        <w:gridCol w:w="1755"/>
      </w:tblGrid>
      <w:tr>
        <w:trPr>
          <w:trHeight w:val="300" w:hRule="atLeast"/>
        </w:trPr>
        <w:tc>
          <w:tcPr>
            <w:tcW w:w="2318" w:type="dxa"/>
            <w:tcBorders>
              <w:top w:val="single" w:color="000000" w:sz="12" w:space="0"/>
              <w:bottom w:val="single" w:color="000000" w:sz="8" w:space="0"/>
            </w:tcBorders>
            <w:vAlign w:val="center"/>
          </w:tcPr>
          <w:p>
            <w:pPr>
              <w:spacing w:line="360" w:lineRule="auto"/>
              <w:ind w:firstLineChars="200"/>
              <w:jc w:val="both"/>
              <w:widowControl/>
              <w:textAlignment w:val="center"/>
              <w:rPr>
                <w:rFonts w:ascii="宋体" w:hAnsi="宋体" w:eastAsia="宋体" w:cs="宋体"/>
                <w:b/>
                <w:bCs/>
                <w:color w:val="000000"/>
                <w:kern w:val="0"/>
                <w:sz w:val="24"/>
                <w:szCs w:val="24"/>
              </w:rPr>
            </w:pPr>
            <w:r>
              <w:rPr>
                <w:rFonts w:ascii="Times New Roman" w:hAnsi="Times New Roman" w:eastAsia="宋体"/>
                <w:sz w:val="24"/>
                <w:szCs w:val="24"/>
                <w:color w:val="000000"/>
                <w:kern w:val="0"/>
              </w:rPr>
              <w:t>自变量</w:t>
            </w:r>
          </w:p>
        </w:tc>
        <w:tc>
          <w:tcPr>
            <w:tcW w:w="1125" w:type="dxa"/>
            <w:tcBorders>
              <w:top w:val="single" w:color="000000" w:sz="12" w:space="0"/>
              <w:bottom w:val="single" w:color="000000" w:sz="8" w:space="0"/>
            </w:tcBorders>
            <w:vAlign w:val="center"/>
          </w:tcPr>
          <w:p>
            <w:pPr>
              <w:spacing w:line="360" w:lineRule="auto"/>
              <w:ind w:firstLineChars="200"/>
              <w:jc w:val="both"/>
              <w:widowControl/>
              <w:textAlignment w:val="center"/>
              <w:rPr>
                <w:rFonts w:ascii="宋体" w:hAnsi="宋体" w:eastAsia="宋体" w:cs="宋体"/>
                <w:b/>
                <w:bCs/>
                <w:color w:val="000000"/>
                <w:kern w:val="0"/>
                <w:sz w:val="24"/>
                <w:szCs w:val="24"/>
              </w:rPr>
            </w:pPr>
            <w:r>
              <w:rPr>
                <w:rFonts w:ascii="Times New Roman" w:hAnsi="Times New Roman" w:eastAsia="宋体"/>
                <w:sz w:val="24"/>
                <w:szCs w:val="24"/>
                <w:color w:val="000000"/>
                <w:kern w:val="0"/>
              </w:rPr>
              <w:t>β</w:t>
            </w:r>
          </w:p>
        </w:tc>
        <w:tc>
          <w:tcPr>
            <w:tcW w:w="946" w:type="dxa"/>
            <w:tcBorders>
              <w:top w:val="single" w:color="000000" w:sz="12" w:space="0"/>
              <w:bottom w:val="single" w:color="000000" w:sz="8" w:space="0"/>
            </w:tcBorders>
            <w:vAlign w:val="center"/>
          </w:tcPr>
          <w:p>
            <w:pPr>
              <w:spacing w:line="360" w:lineRule="auto"/>
              <w:ind w:firstLineChars="200"/>
              <w:jc w:val="both"/>
              <w:widowControl/>
              <w:textAlignment w:val="center"/>
              <w:rPr>
                <w:rFonts w:ascii="宋体" w:hAnsi="宋体" w:eastAsia="宋体" w:cs="宋体"/>
                <w:b/>
                <w:bCs/>
                <w:color w:val="000000"/>
                <w:kern w:val="0"/>
                <w:sz w:val="24"/>
                <w:szCs w:val="24"/>
              </w:rPr>
            </w:pPr>
            <w:r>
              <w:rPr>
                <w:rFonts w:ascii="Times New Roman" w:hAnsi="Times New Roman" w:eastAsia="宋体"/>
                <w:sz w:val="24"/>
                <w:szCs w:val="24"/>
                <w:color w:val="000000"/>
                <w:kern w:val="0"/>
              </w:rPr>
              <w:t>SE</w:t>
            </w:r>
          </w:p>
        </w:tc>
        <w:tc>
          <w:tcPr>
            <w:tcW w:w="1124" w:type="dxa"/>
            <w:tcBorders>
              <w:top w:val="single" w:color="000000" w:sz="12" w:space="0"/>
              <w:bottom w:val="single" w:color="000000" w:sz="8" w:space="0"/>
            </w:tcBorders>
            <w:vAlign w:val="center"/>
          </w:tcPr>
          <w:p>
            <w:pPr>
              <w:spacing w:line="360" w:lineRule="auto"/>
              <w:ind w:firstLineChars="200"/>
              <w:jc w:val="both"/>
              <w:widowControl/>
              <w:textAlignment w:val="center"/>
              <w:rPr>
                <w:rFonts w:ascii="宋体" w:hAnsi="宋体" w:eastAsia="宋体" w:cs="宋体"/>
                <w:b/>
                <w:bCs/>
                <w:color w:val="000000"/>
                <w:kern w:val="0"/>
                <w:sz w:val="24"/>
                <w:szCs w:val="24"/>
              </w:rPr>
            </w:pPr>
            <w:r>
              <w:rPr>
                <w:rFonts w:ascii="Times New Roman" w:hAnsi="Times New Roman" w:eastAsia="宋体"/>
                <w:sz w:val="24"/>
                <w:szCs w:val="24"/>
                <w:color w:val="000000"/>
                <w:kern w:val="0"/>
              </w:rPr>
              <w:t>Wald</w:t>
            </w:r>
            <w:r>
              <w:rPr>
                <w:rFonts w:ascii="Times New Roman" w:hAnsi="Times New Roman" w:eastAsia="宋体"/>
                <w:sz w:val="24"/>
                <w:szCs w:val="24"/>
                <w:color w:val="000000"/>
                <w:kern w:val="0"/>
              </w:rPr>
              <w:sym w:font="Symbol" w:char="63"/>
            </w:r>
            <w:r>
              <w:rPr>
                <w:rFonts w:ascii="Times New Roman" w:hAnsi="Times New Roman" w:eastAsia="宋体"/>
                <w:sz w:val="24"/>
                <w:szCs w:val="24"/>
                <w:color w:val="000000"/>
                <w:kern w:val="0"/>
              </w:rPr>
              <w:t>2</w:t>
            </w:r>
          </w:p>
        </w:tc>
        <w:tc>
          <w:tcPr>
            <w:tcW w:w="1029" w:type="dxa"/>
            <w:tcBorders>
              <w:top w:val="single" w:color="000000" w:sz="12" w:space="0"/>
              <w:bottom w:val="single" w:color="000000" w:sz="8" w:space="0"/>
            </w:tcBorders>
            <w:vAlign w:val="center"/>
          </w:tcPr>
          <w:p>
            <w:pPr>
              <w:spacing w:line="360" w:lineRule="auto"/>
              <w:ind w:firstLineChars="200"/>
              <w:jc w:val="both"/>
              <w:widowControl/>
              <w:textAlignment w:val="center"/>
              <w:rPr>
                <w:rFonts w:ascii="宋体" w:hAnsi="宋体" w:eastAsia="宋体" w:cs="宋体"/>
                <w:b/>
                <w:bCs/>
                <w:color w:val="000000"/>
                <w:kern w:val="0"/>
                <w:sz w:val="24"/>
                <w:szCs w:val="24"/>
              </w:rPr>
            </w:pPr>
            <w:r>
              <w:rPr>
                <w:rFonts w:ascii="Times New Roman" w:hAnsi="Times New Roman" w:eastAsia="宋体"/>
                <w:sz w:val="24"/>
                <w:szCs w:val="24"/>
                <w:color w:val="000000"/>
                <w:kern w:val="0"/>
              </w:rPr>
              <w:t>P</w:t>
            </w:r>
          </w:p>
        </w:tc>
        <w:tc>
          <w:tcPr>
            <w:tcW w:w="1057" w:type="dxa"/>
            <w:tcBorders>
              <w:top w:val="single" w:color="000000" w:sz="12" w:space="0"/>
              <w:bottom w:val="single" w:color="000000" w:sz="8" w:space="0"/>
            </w:tcBorders>
            <w:vAlign w:val="center"/>
          </w:tcPr>
          <w:p>
            <w:pPr>
              <w:spacing w:line="360" w:lineRule="auto"/>
              <w:ind w:firstLineChars="200"/>
              <w:jc w:val="both"/>
              <w:widowControl/>
              <w:textAlignment w:val="center"/>
              <w:rPr>
                <w:rFonts w:ascii="宋体" w:hAnsi="宋体" w:eastAsia="宋体" w:cs="宋体"/>
                <w:b/>
                <w:bCs/>
                <w:color w:val="000000"/>
                <w:kern w:val="0"/>
                <w:sz w:val="24"/>
                <w:szCs w:val="24"/>
              </w:rPr>
            </w:pPr>
            <w:r>
              <w:rPr>
                <w:rFonts w:ascii="Times New Roman" w:hAnsi="Times New Roman" w:eastAsia="宋体"/>
                <w:sz w:val="24"/>
                <w:szCs w:val="24"/>
                <w:color w:val="000000"/>
                <w:kern w:val="0"/>
              </w:rPr>
              <w:t>OR</w:t>
            </w:r>
          </w:p>
        </w:tc>
        <w:tc>
          <w:tcPr>
            <w:tcW w:w="1755" w:type="dxa"/>
            <w:tcBorders>
              <w:top w:val="single" w:color="000000" w:sz="12" w:space="0"/>
              <w:bottom w:val="single" w:color="000000" w:sz="8" w:space="0"/>
            </w:tcBorders>
            <w:vAlign w:val="center"/>
          </w:tcPr>
          <w:p>
            <w:pPr>
              <w:spacing w:line="360" w:lineRule="auto"/>
              <w:ind w:firstLineChars="200"/>
              <w:jc w:val="both"/>
              <w:widowControl/>
              <w:textAlignment w:val="center"/>
              <w:rPr>
                <w:rFonts w:ascii="宋体" w:hAnsi="宋体" w:eastAsia="宋体" w:cs="宋体"/>
                <w:b/>
                <w:bCs/>
                <w:color w:val="000000"/>
                <w:kern w:val="0"/>
                <w:sz w:val="24"/>
                <w:szCs w:val="24"/>
              </w:rPr>
            </w:pPr>
            <w:r>
              <w:rPr>
                <w:rFonts w:ascii="Times New Roman" w:hAnsi="Times New Roman" w:eastAsia="宋体"/>
                <w:sz w:val="24"/>
                <w:szCs w:val="24"/>
                <w:color w:val="000000"/>
                <w:kern w:val="0"/>
              </w:rPr>
              <w:t>95%CI</w:t>
            </w:r>
          </w:p>
        </w:tc>
      </w:tr>
      <w:tr>
        <w:trPr>
          <w:trHeight w:val="270" w:hRule="atLeast"/>
        </w:trPr>
        <w:tc>
          <w:tcPr>
            <w:tcW w:w="231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居住地在农村</w:t>
            </w:r>
          </w:p>
        </w:tc>
        <w:tc>
          <w:tcPr>
            <w:tcW w:w="1125"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-0.536</w:t>
            </w:r>
          </w:p>
        </w:tc>
        <w:tc>
          <w:tcPr>
            <w:tcW w:w="946"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0.456</w:t>
            </w:r>
          </w:p>
        </w:tc>
        <w:tc>
          <w:tcPr>
            <w:tcW w:w="1124"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1.382</w:t>
            </w:r>
          </w:p>
        </w:tc>
        <w:tc>
          <w:tcPr>
            <w:tcW w:w="1029"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0.240</w:t>
            </w:r>
          </w:p>
        </w:tc>
        <w:tc>
          <w:tcPr>
            <w:tcW w:w="1057"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0.585</w:t>
            </w:r>
          </w:p>
        </w:tc>
        <w:tc>
          <w:tcPr>
            <w:tcW w:w="1755"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0.241</w:t>
            </w:r>
            <w:commentRangeStart w:id="3"/>
            <w:r>
              <w:rPr>
                <w:rFonts w:ascii="Times New Roman" w:hAnsi="Times New Roman" w:eastAsia="宋体"/>
                <w:sz w:val="24"/>
                <w:szCs w:val="24"/>
                <w:color w:val="000000"/>
                <w:kern w:val="0"/>
              </w:rPr>
              <w:t>~</w:t>
            </w:r>
            <w:r>
              <w:rPr>
                <w:rFonts w:ascii="Times New Roman" w:hAnsi="Times New Roman" w:eastAsia="宋体"/>
                <w:sz w:val="24"/>
                <w:szCs w:val="24"/>
                <w:vanish w:val="false"/>
                <w:color w:val="000000"/>
                <w:kern w:val="0"/>
              </w:rPr>
            </w:r>
            <w:commentRangeEnd w:id="3"/>
            <w:r>
              <w:rPr>
                <w:rFonts w:ascii="Times New Roman" w:hAnsi="Times New Roman" w:eastAsia="宋体"/>
                <w:sz w:val="24"/>
                <w:szCs w:val="24"/>
              </w:rPr>
              <w:commentReference w:id="3"/>
            </w:r>
            <w:r>
              <w:rPr>
                <w:rFonts w:ascii="Times New Roman" w:hAnsi="Times New Roman" w:eastAsia="宋体"/>
                <w:sz w:val="24"/>
                <w:szCs w:val="24"/>
                <w:color w:val="000000"/>
                <w:kern w:val="0"/>
              </w:rPr>
              <w:t>1.419</w:t>
            </w:r>
          </w:p>
        </w:tc>
      </w:tr>
      <w:tr>
        <w:trPr>
          <w:trHeight w:val="270" w:hRule="atLeast"/>
        </w:trPr>
        <w:tc>
          <w:tcPr>
            <w:tcW w:w="231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文化程度为初中及以下</w:t>
            </w:r>
          </w:p>
        </w:tc>
        <w:tc>
          <w:tcPr>
            <w:tcW w:w="1125"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-1.644</w:t>
            </w:r>
          </w:p>
        </w:tc>
        <w:tc>
          <w:tcPr>
            <w:tcW w:w="946"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0.561</w:t>
            </w:r>
          </w:p>
        </w:tc>
        <w:tc>
          <w:tcPr>
            <w:tcW w:w="1124"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8.603</w:t>
            </w:r>
          </w:p>
        </w:tc>
        <w:tc>
          <w:tcPr>
            <w:tcW w:w="1029"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0.003</w:t>
            </w:r>
          </w:p>
        </w:tc>
        <w:tc>
          <w:tcPr>
            <w:tcW w:w="1057"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0.193</w:t>
            </w:r>
          </w:p>
        </w:tc>
        <w:tc>
          <w:tcPr>
            <w:tcW w:w="1755"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0.064~0.584</w:t>
            </w:r>
          </w:p>
        </w:tc>
      </w:tr>
      <w:tr>
        <w:trPr>
          <w:trHeight w:val="270" w:hRule="atLeast"/>
        </w:trPr>
        <w:tc>
          <w:tcPr>
            <w:tcW w:w="231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文化程度为中专</w:t>
            </w:r>
            <w:r>
              <w:rPr>
                <w:rFonts w:ascii="Times New Roman" w:hAnsi="Times New Roman" w:eastAsia="宋体"/>
                <w:sz w:val="24"/>
                <w:szCs w:val="24"/>
                <w:color w:val="000000"/>
                <w:kern w:val="0"/>
              </w:rPr>
              <w:t>/</w:t>
            </w:r>
            <w:r>
              <w:rPr>
                <w:rFonts w:ascii="Times New Roman" w:hAnsi="Times New Roman" w:eastAsia="宋体"/>
                <w:sz w:val="24"/>
                <w:szCs w:val="24"/>
                <w:color w:val="000000"/>
                <w:kern w:val="0"/>
              </w:rPr>
              <w:t>高中</w:t>
            </w:r>
          </w:p>
        </w:tc>
        <w:tc>
          <w:tcPr>
            <w:tcW w:w="1125"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-1.209</w:t>
            </w:r>
          </w:p>
        </w:tc>
        <w:tc>
          <w:tcPr>
            <w:tcW w:w="946"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0.486</w:t>
            </w:r>
          </w:p>
        </w:tc>
        <w:tc>
          <w:tcPr>
            <w:tcW w:w="1124"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6.196</w:t>
            </w:r>
          </w:p>
        </w:tc>
        <w:tc>
          <w:tcPr>
            <w:tcW w:w="1029"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0.013</w:t>
            </w:r>
          </w:p>
        </w:tc>
        <w:tc>
          <w:tcPr>
            <w:tcW w:w="1057"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0.299</w:t>
            </w:r>
          </w:p>
        </w:tc>
        <w:tc>
          <w:tcPr>
            <w:tcW w:w="1755"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0.116~0.767</w:t>
            </w:r>
          </w:p>
        </w:tc>
      </w:tr>
      <w:tr>
        <w:trPr>
          <w:trHeight w:val="270" w:hRule="atLeast"/>
        </w:trPr>
        <w:tc>
          <w:tcPr>
            <w:tcW w:w="231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家庭月收入为</w:t>
            </w:r>
            <w:r>
              <w:rPr>
                <w:rFonts w:ascii="Times New Roman" w:hAnsi="Times New Roman" w:eastAsia="宋体"/>
                <w:sz w:val="24"/>
                <w:szCs w:val="24"/>
                <w:color w:val="000000"/>
                <w:kern w:val="0"/>
              </w:rPr>
              <w:t>&lt;3000</w:t>
            </w:r>
            <w:r>
              <w:rPr>
                <w:rFonts w:ascii="Times New Roman" w:hAnsi="Times New Roman" w:eastAsia="宋体"/>
                <w:sz w:val="24"/>
                <w:szCs w:val="24"/>
                <w:color w:val="000000"/>
                <w:kern w:val="0"/>
              </w:rPr>
              <w:t>元</w:t>
            </w:r>
          </w:p>
        </w:tc>
        <w:tc>
          <w:tcPr>
            <w:tcW w:w="1125"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-1.624</w:t>
            </w:r>
          </w:p>
        </w:tc>
        <w:tc>
          <w:tcPr>
            <w:tcW w:w="946"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0.571</w:t>
            </w:r>
          </w:p>
        </w:tc>
        <w:tc>
          <w:tcPr>
            <w:tcW w:w="1124"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8.092</w:t>
            </w:r>
          </w:p>
        </w:tc>
        <w:tc>
          <w:tcPr>
            <w:tcW w:w="1029"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0.004</w:t>
            </w:r>
          </w:p>
        </w:tc>
        <w:tc>
          <w:tcPr>
            <w:tcW w:w="1057"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0.197</w:t>
            </w:r>
          </w:p>
        </w:tc>
        <w:tc>
          <w:tcPr>
            <w:tcW w:w="1755"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0.065~0.594</w:t>
            </w:r>
          </w:p>
        </w:tc>
      </w:tr>
      <w:tr>
        <w:trPr>
          <w:trHeight w:val="270" w:hRule="atLeast"/>
        </w:trPr>
        <w:tc>
          <w:tcPr>
            <w:tcW w:w="231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家庭月收入为</w:t>
            </w:r>
            <w:r>
              <w:rPr>
                <w:rFonts w:ascii="Times New Roman" w:hAnsi="Times New Roman" w:eastAsia="宋体"/>
                <w:sz w:val="24"/>
                <w:szCs w:val="24"/>
                <w:color w:val="000000"/>
                <w:kern w:val="0"/>
              </w:rPr>
              <w:t>3000-6000</w:t>
            </w:r>
            <w:r>
              <w:rPr>
                <w:rFonts w:ascii="Times New Roman" w:hAnsi="Times New Roman" w:eastAsia="宋体"/>
                <w:sz w:val="24"/>
                <w:szCs w:val="24"/>
                <w:color w:val="000000"/>
                <w:kern w:val="0"/>
              </w:rPr>
              <w:t>元</w:t>
            </w:r>
          </w:p>
        </w:tc>
        <w:tc>
          <w:tcPr>
            <w:tcW w:w="1125"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-0.479</w:t>
            </w:r>
          </w:p>
        </w:tc>
        <w:tc>
          <w:tcPr>
            <w:tcW w:w="946"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0.452</w:t>
            </w:r>
          </w:p>
        </w:tc>
        <w:tc>
          <w:tcPr>
            <w:tcW w:w="1124"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1.127</w:t>
            </w:r>
          </w:p>
        </w:tc>
        <w:tc>
          <w:tcPr>
            <w:tcW w:w="1029"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0.288</w:t>
            </w:r>
          </w:p>
        </w:tc>
        <w:tc>
          <w:tcPr>
            <w:tcW w:w="1057"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0.619</w:t>
            </w:r>
          </w:p>
        </w:tc>
        <w:tc>
          <w:tcPr>
            <w:tcW w:w="1755"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0.257~1.492</w:t>
            </w:r>
          </w:p>
        </w:tc>
      </w:tr>
      <w:tr>
        <w:trPr>
          <w:trHeight w:val="270" w:hRule="atLeast"/>
        </w:trPr>
        <w:tc>
          <w:tcPr>
            <w:tcW w:w="231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吸烟</w:t>
            </w:r>
          </w:p>
        </w:tc>
        <w:tc>
          <w:tcPr>
            <w:tcW w:w="1125"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-0.264</w:t>
            </w:r>
          </w:p>
        </w:tc>
        <w:tc>
          <w:tcPr>
            <w:tcW w:w="946"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0.399</w:t>
            </w:r>
          </w:p>
        </w:tc>
        <w:tc>
          <w:tcPr>
            <w:tcW w:w="1124"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0.438</w:t>
            </w:r>
          </w:p>
        </w:tc>
        <w:tc>
          <w:tcPr>
            <w:tcW w:w="1029"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0.508</w:t>
            </w:r>
          </w:p>
        </w:tc>
        <w:tc>
          <w:tcPr>
            <w:tcW w:w="1057"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0.768</w:t>
            </w:r>
          </w:p>
        </w:tc>
        <w:tc>
          <w:tcPr>
            <w:tcW w:w="1755"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0.354~1.663</w:t>
            </w:r>
          </w:p>
        </w:tc>
      </w:tr>
      <w:tr>
        <w:trPr>
          <w:trHeight w:val="270" w:hRule="atLeast"/>
        </w:trPr>
        <w:tc>
          <w:tcPr>
            <w:tcW w:w="231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有家族史</w:t>
            </w:r>
          </w:p>
        </w:tc>
        <w:tc>
          <w:tcPr>
            <w:tcW w:w="1125"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0.114</w:t>
            </w:r>
          </w:p>
        </w:tc>
        <w:tc>
          <w:tcPr>
            <w:tcW w:w="946"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0.395</w:t>
            </w:r>
          </w:p>
        </w:tc>
        <w:tc>
          <w:tcPr>
            <w:tcW w:w="1124"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0.083</w:t>
            </w:r>
          </w:p>
        </w:tc>
        <w:tc>
          <w:tcPr>
            <w:tcW w:w="1029"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0.773</w:t>
            </w:r>
          </w:p>
        </w:tc>
        <w:tc>
          <w:tcPr>
            <w:tcW w:w="1057"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1.120</w:t>
            </w:r>
          </w:p>
        </w:tc>
        <w:tc>
          <w:tcPr>
            <w:tcW w:w="1755"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0.514~2.443</w:t>
            </w:r>
          </w:p>
        </w:tc>
      </w:tr>
      <w:tr>
        <w:trPr>
          <w:trHeight w:val="285" w:hRule="atLeast"/>
        </w:trPr>
        <w:tc>
          <w:tcPr>
            <w:tcW w:w="2318" w:type="dxa"/>
            <w:tcBorders>
              <w:bottom w:val="single" w:color="000000" w:sz="12" w:space="0"/>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接受过健康教育</w:t>
            </w:r>
          </w:p>
        </w:tc>
        <w:tc>
          <w:tcPr>
            <w:tcW w:w="1125" w:type="dxa"/>
            <w:tcBorders>
              <w:bottom w:val="single" w:color="000000" w:sz="12" w:space="0"/>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1.599</w:t>
            </w:r>
          </w:p>
        </w:tc>
        <w:tc>
          <w:tcPr>
            <w:tcW w:w="946" w:type="dxa"/>
            <w:tcBorders>
              <w:bottom w:val="single" w:color="000000" w:sz="12" w:space="0"/>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0.434</w:t>
            </w:r>
          </w:p>
        </w:tc>
        <w:tc>
          <w:tcPr>
            <w:tcW w:w="1124" w:type="dxa"/>
            <w:tcBorders>
              <w:bottom w:val="single" w:color="000000" w:sz="12" w:space="0"/>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13.59</w:t>
            </w:r>
          </w:p>
        </w:tc>
        <w:tc>
          <w:tcPr>
            <w:tcW w:w="1029" w:type="dxa"/>
            <w:tcBorders>
              <w:bottom w:val="single" w:color="000000" w:sz="12" w:space="0"/>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&lt;0.001</w:t>
            </w:r>
          </w:p>
        </w:tc>
        <w:tc>
          <w:tcPr>
            <w:tcW w:w="1057" w:type="dxa"/>
            <w:tcBorders>
              <w:bottom w:val="single" w:color="000000" w:sz="12" w:space="0"/>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4.95</w:t>
            </w:r>
          </w:p>
        </w:tc>
        <w:tc>
          <w:tcPr>
            <w:tcW w:w="1755" w:type="dxa"/>
            <w:tcBorders>
              <w:bottom w:val="single" w:color="000000" w:sz="12" w:space="0"/>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2.071~11.827</w:t>
            </w:r>
          </w:p>
        </w:tc>
      </w:tr>
    </w:tbl>
    <w:p>
      <w:pPr>
        <w:spacing w:beforeLines="100" w:afterLines="100"/>
        <w:jc w:val="left"/>
        <w:numPr>
          <w:ilvl w:val="0"/>
          <w:numId w:val="0"/>
        </w:numPr>
        <w:snapToGrid w:val="false"/>
        <w:outlineLvl w:val="0"/>
        <w:rPr>
          <w:rFonts w:ascii="宋体" w:hAnsi="宋体" w:eastAsia="宋体" w:cs="宋体"/>
          <w:b/>
          <w:bCs/>
          <w:sz w:val="32"/>
          <w:szCs w:val="32"/>
        </w:rPr>
      </w:pPr>
      <w:bookmarkStart w:name="__RefHeading___Toc224858196" w:id="27"/>
      <w:bookmarkEnd w:id="27"/>
      <w:r>
        <w:rPr>
          <w:rFonts w:ascii="宋体" w:hAnsi="宋体" w:eastAsia=""/>
          <w:sz w:val="32"/>
          <w:szCs w:val="32"/>
          <w:b/>
          <w:bCs/>
        </w:rPr>
        <w:t xml:space="preserve">5 </w:t>
      </w:r>
      <w:r>
        <w:rPr>
          <w:rFonts w:ascii="宋体" w:hAnsi="宋体" w:eastAsia=""/>
          <w:sz w:val="32"/>
          <w:szCs w:val="32"/>
          <w:b/>
          <w:bCs/>
        </w:rPr>
        <w:t>结论</w:t>
      </w:r>
      <w:r>
        <w:rPr>
          <w:rFonts w:ascii="宋体" w:hAnsi="宋体" w:eastAsia=""/>
          <w:sz w:val="32"/>
          <w:szCs w:val="32"/>
          <w:b/>
          <w:bCs/>
        </w:rPr>
        <w:t>/</w:t>
      </w:r>
      <w:r>
        <w:rPr>
          <w:rFonts w:ascii="宋体" w:hAnsi="宋体" w:eastAsia=""/>
          <w:sz w:val="32"/>
          <w:szCs w:val="32"/>
          <w:b/>
          <w:bCs/>
        </w:rPr>
        <w:t>总结</w:t>
      </w:r>
    </w:p>
    <w:p>
      <w:pPr>
        <w:spacing w:line="360" w:lineRule="auto"/>
        <w:ind w:firstLineChars="200"/>
        <w:jc w:val="both"/>
        <w:numPr>
          <w:ilvl w:val="0"/>
          <w:numId w:val="0"/>
        </w:numPr>
        <w:snapToGrid w:val="false"/>
        <w:outlineLvl w:val="1"/>
        <w:rPr>
          <w:rFonts w:ascii="宋体" w:hAnsi="宋体" w:eastAsia="宋体" w:cs="宋体"/>
          <w:b/>
          <w:bCs/>
          <w:sz w:val="30"/>
          <w:szCs w:val="30"/>
        </w:rPr>
      </w:pPr>
      <w:bookmarkStart w:name="__RefHeading___Toc224858197" w:id="28"/>
      <w:bookmarkEnd w:id="28"/>
      <w:r>
        <w:rPr>
          <w:rFonts w:ascii="Times New Roman" w:hAnsi="Times New Roman" w:eastAsia="宋体"/>
          <w:sz w:val="24"/>
          <w:szCs w:val="24"/>
        </w:rPr>
        <w:t>5.1</w:t>
      </w:r>
      <w:r>
        <w:rPr>
          <w:rFonts w:ascii="Times New Roman" w:hAnsi="Times New Roman" w:eastAsia="宋体"/>
          <w:sz w:val="24"/>
          <w:szCs w:val="24"/>
        </w:rPr>
        <w:t>单因素分析结果的核心</w:t>
      </w:r>
    </w:p>
    <w:p>
      <w:pPr>
        <w:spacing w:line="360" w:lineRule="auto"/>
        <w:ind w:firstLineChars="200"/>
        <w:jc w:val="both"/>
        <w:snapToGrid w:val="false"/>
        <w:rPr>
          <w:rFonts w:ascii="宋体" w:hAnsi="宋体" w:eastAsia="宋体" w:cs="宋体"/>
          <w:sz w:val="24"/>
          <w:szCs w:val="24"/>
        </w:rPr>
      </w:pPr>
      <w:r>
        <w:rPr>
          <w:rFonts w:ascii="Times New Roman" w:hAnsi="Times New Roman" w:eastAsia="宋体"/>
          <w:sz w:val="24"/>
          <w:szCs w:val="24"/>
        </w:rPr>
        <w:t>单因素分析显示，患者年龄、职业、居住地、文化程度、家庭月收入、吸烟、家族史、接受过健康教育</w:t>
      </w:r>
      <w:r>
        <w:rPr>
          <w:rFonts w:ascii="Times New Roman" w:hAnsi="Times New Roman" w:eastAsia="宋体"/>
          <w:sz w:val="24"/>
          <w:szCs w:val="24"/>
        </w:rPr>
        <w:t>8</w:t>
      </w:r>
      <w:r>
        <w:rPr>
          <w:rFonts w:ascii="Times New Roman" w:hAnsi="Times New Roman" w:eastAsia="宋体"/>
          <w:sz w:val="24"/>
          <w:szCs w:val="24"/>
        </w:rPr>
        <w:t>个变量与患者疾病认知水平显著相关（</w:t>
      </w:r>
      <w:r>
        <w:rPr>
          <w:rFonts w:ascii="Times New Roman" w:hAnsi="Times New Roman" w:eastAsia="宋体"/>
          <w:sz w:val="24"/>
          <w:szCs w:val="24"/>
        </w:rPr>
        <w:t>P</w:t>
      </w:r>
      <w:r>
        <w:rPr>
          <w:rFonts w:ascii="Times New Roman" w:hAnsi="Times New Roman" w:eastAsia="宋体"/>
          <w:sz w:val="24"/>
          <w:szCs w:val="24"/>
        </w:rPr>
        <w:t>＜</w:t>
      </w:r>
      <w:r>
        <w:rPr>
          <w:rFonts w:ascii="Times New Roman" w:hAnsi="Times New Roman" w:eastAsia="宋体"/>
          <w:sz w:val="24"/>
          <w:szCs w:val="24"/>
        </w:rPr>
        <w:t>0.05</w:t>
      </w:r>
      <w:r>
        <w:rPr>
          <w:rFonts w:ascii="Times New Roman" w:hAnsi="Times New Roman" w:eastAsia="宋体"/>
          <w:sz w:val="24"/>
          <w:szCs w:val="24"/>
        </w:rPr>
        <w:t>，而性别、饮酒、病程、血糖及糖化血红蛋白水平、并发症、特殊饮食习惯等变量无统计学意义，反应出患者认知水平的差异先在社会人口学、生活行为及健康干预相关维度体验。</w:t>
      </w:r>
    </w:p>
    <w:p>
      <w:pPr>
        <w:spacing w:line="360" w:lineRule="auto"/>
        <w:ind w:firstLineChars="200"/>
        <w:jc w:val="both"/>
        <w:snapToGrid w:val="false"/>
        <w:rPr>
          <w:rFonts w:ascii="宋体" w:hAnsi="宋体" w:eastAsia="宋体" w:cs="宋体"/>
          <w:sz w:val="24"/>
          <w:szCs w:val="24"/>
        </w:rPr>
      </w:pPr>
      <w:r>
        <w:rPr>
          <w:rFonts w:ascii="Times New Roman" w:hAnsi="Times New Roman" w:eastAsia="宋体"/>
          <w:sz w:val="24"/>
          <w:szCs w:val="24"/>
        </w:rPr>
        <w:t>社会人口学特征是认知水平的基础影响维度，年龄越大、文化程度越低、家庭月收入越低，患者认知差的占比越高。在职业与生活行为方面，无业及退休患者认知差占比达</w:t>
      </w:r>
      <w:r>
        <w:rPr>
          <w:rFonts w:ascii="Times New Roman" w:hAnsi="Times New Roman" w:eastAsia="宋体"/>
          <w:sz w:val="24"/>
          <w:szCs w:val="24"/>
        </w:rPr>
        <w:t>80.33%</w:t>
      </w:r>
      <w:r>
        <w:rPr>
          <w:rFonts w:ascii="Times New Roman" w:hAnsi="Times New Roman" w:eastAsia="宋体"/>
          <w:sz w:val="24"/>
          <w:szCs w:val="24"/>
        </w:rPr>
        <w:t>，远高于脑力、体力劳动者；本研究对象中吸烟患者认知良好占比仅</w:t>
      </w:r>
      <w:r>
        <w:rPr>
          <w:rFonts w:ascii="Times New Roman" w:hAnsi="Times New Roman" w:eastAsia="宋体"/>
          <w:sz w:val="24"/>
          <w:szCs w:val="24"/>
        </w:rPr>
        <w:t>6.67%</w:t>
      </w:r>
      <w:r>
        <w:rPr>
          <w:rFonts w:ascii="Times New Roman" w:hAnsi="Times New Roman" w:eastAsia="宋体"/>
          <w:sz w:val="24"/>
          <w:szCs w:val="24"/>
        </w:rPr>
        <w:t>，提示职业带来的健康关注程度、吸烟相关的健康行为习惯，可能间接影响患者对糖尿病知识的获取与重视。</w:t>
      </w:r>
      <w:r>
        <w:rPr>
          <w:rFonts w:ascii="Times New Roman" w:hAnsi="Times New Roman" w:eastAsia="宋体"/>
          <w:sz w:val="24"/>
          <w:szCs w:val="24"/>
          <w:color w:val="000000"/>
        </w:rPr>
        <w:t>李青等</w:t>
      </w:r>
      <w:r>
        <w:rPr>
          <w:rFonts w:ascii="Times New Roman" w:hAnsi="Times New Roman" w:eastAsia="宋体"/>
          <w:sz w:val="24"/>
          <w:szCs w:val="24"/>
          <w:color w:val="000000"/>
          <w:vertAlign w:val="superscript"/>
        </w:rPr>
        <w:t>[</w:t>
      </w:r>
      <w:r>
        <w:rPr>
          <w:rFonts w:ascii="Times New Roman" w:hAnsi="Times New Roman" w:eastAsia="宋体"/>
          <w:sz w:val="24"/>
          <w:szCs w:val="24"/>
          <w:color w:val="000000"/>
          <w:vertAlign w:val="superscript"/>
        </w:rPr>
        <w:t>10</w:t>
      </w:r>
      <w:r>
        <w:rPr>
          <w:rFonts w:ascii="Times New Roman" w:hAnsi="Times New Roman" w:eastAsia="宋体"/>
          <w:sz w:val="24"/>
          <w:szCs w:val="24"/>
          <w:color w:val="000000"/>
          <w:vertAlign w:val="superscript"/>
        </w:rPr>
        <w:t>]</w:t>
      </w:r>
      <w:r>
        <w:rPr>
          <w:rFonts w:ascii="Times New Roman" w:hAnsi="Times New Roman" w:eastAsia="宋体"/>
          <w:sz w:val="24"/>
          <w:szCs w:val="24"/>
          <w:color w:val="000000"/>
        </w:rPr>
        <w:t>的研究显示，糖尿病患者对健康促进方面的需求远高于对疾病本身知识方面的需求，且调查中仍有部分患者存在吸烟、喝酒等不良行为，改变的依从性差</w:t>
      </w:r>
      <w:r>
        <w:rPr>
          <w:rFonts w:ascii="Times New Roman" w:hAnsi="Times New Roman" w:eastAsia="宋体"/>
          <w:sz w:val="24"/>
          <w:szCs w:val="24"/>
          <w:color w:val="000000"/>
          <w:vertAlign w:val="superscript"/>
        </w:rPr>
        <w:t>[</w:t>
      </w:r>
      <w:r>
        <w:rPr>
          <w:rFonts w:ascii="Times New Roman" w:hAnsi="Times New Roman" w:eastAsia="宋体"/>
          <w:sz w:val="24"/>
          <w:szCs w:val="24"/>
          <w:color w:val="000000"/>
          <w:vertAlign w:val="superscript"/>
        </w:rPr>
        <w:t>11</w:t>
      </w:r>
      <w:r>
        <w:rPr>
          <w:rFonts w:ascii="Times New Roman" w:hAnsi="Times New Roman" w:eastAsia="宋体"/>
          <w:sz w:val="24"/>
          <w:szCs w:val="24"/>
          <w:color w:val="000000"/>
          <w:vertAlign w:val="superscript"/>
        </w:rPr>
        <w:t>]</w:t>
      </w:r>
      <w:r>
        <w:rPr>
          <w:rFonts w:ascii="Times New Roman" w:hAnsi="Times New Roman" w:eastAsia="宋体"/>
          <w:sz w:val="24"/>
          <w:szCs w:val="24"/>
          <w:color w:val="000000"/>
          <w:vertAlign w:val="superscript"/>
        </w:rPr>
        <w:t>[2]</w:t>
      </w:r>
      <w:r>
        <w:rPr>
          <w:rFonts w:ascii="Times New Roman" w:hAnsi="Times New Roman" w:eastAsia="宋体"/>
          <w:sz w:val="24"/>
          <w:szCs w:val="24"/>
        </w:rPr>
        <w:t>，本研究对象中吸烟患者的认知良好占比仅</w:t>
      </w:r>
      <w:r>
        <w:rPr>
          <w:rFonts w:ascii="Times New Roman" w:hAnsi="Times New Roman" w:eastAsia="宋体"/>
          <w:sz w:val="24"/>
          <w:szCs w:val="24"/>
        </w:rPr>
        <w:t>6.67%</w:t>
      </w:r>
      <w:r>
        <w:rPr>
          <w:rFonts w:ascii="Times New Roman" w:hAnsi="Times New Roman" w:eastAsia="宋体"/>
          <w:sz w:val="24"/>
          <w:szCs w:val="24"/>
        </w:rPr>
        <w:t>，喝酒认知良好占比</w:t>
      </w:r>
      <w:r>
        <w:rPr>
          <w:rFonts w:ascii="Times New Roman" w:hAnsi="Times New Roman" w:eastAsia="宋体"/>
          <w:sz w:val="24"/>
          <w:szCs w:val="24"/>
        </w:rPr>
        <w:t>20%</w:t>
      </w:r>
      <w:r>
        <w:rPr>
          <w:rFonts w:ascii="Times New Roman" w:hAnsi="Times New Roman" w:eastAsia="宋体"/>
          <w:sz w:val="24"/>
          <w:szCs w:val="24"/>
        </w:rPr>
        <w:t>，提示患者存在的吸烟饮酒行为影响患者对疾病的认知。</w:t>
      </w:r>
    </w:p>
    <w:p>
      <w:pPr>
        <w:spacing w:line="360" w:lineRule="auto"/>
        <w:ind w:firstLineChars="200"/>
        <w:jc w:val="both"/>
        <w:snapToGrid w:val="false"/>
        <w:rPr>
          <w:rFonts w:ascii="宋体" w:hAnsi="宋体" w:eastAsia="宋体" w:cs="宋体"/>
          <w:sz w:val="24"/>
          <w:szCs w:val="24"/>
        </w:rPr>
      </w:pPr>
      <w:r>
        <w:rPr>
          <w:rFonts w:ascii="Times New Roman" w:hAnsi="Times New Roman" w:eastAsia="宋体"/>
          <w:sz w:val="24"/>
          <w:szCs w:val="24"/>
        </w:rPr>
        <w:t>在健康相关的因素中，有家族史、接受过健康教育的患者认知水平更优，尤其是接受过健康教育的患者，认知差占比仅</w:t>
      </w:r>
      <w:r>
        <w:rPr>
          <w:rFonts w:ascii="Times New Roman" w:hAnsi="Times New Roman" w:eastAsia="宋体"/>
          <w:sz w:val="24"/>
          <w:szCs w:val="24"/>
        </w:rPr>
        <w:t>14.75%</w:t>
      </w:r>
      <w:r>
        <w:rPr>
          <w:rFonts w:ascii="Times New Roman" w:hAnsi="Times New Roman" w:eastAsia="宋体"/>
          <w:sz w:val="24"/>
          <w:szCs w:val="24"/>
        </w:rPr>
        <w:t>，认知良好占比达</w:t>
      </w:r>
      <w:r>
        <w:rPr>
          <w:rFonts w:ascii="Times New Roman" w:hAnsi="Times New Roman" w:eastAsia="宋体"/>
          <w:sz w:val="24"/>
          <w:szCs w:val="24"/>
        </w:rPr>
        <w:t>86.67%</w:t>
      </w:r>
      <w:r>
        <w:rPr>
          <w:rFonts w:ascii="Times New Roman" w:hAnsi="Times New Roman" w:eastAsia="宋体"/>
          <w:sz w:val="24"/>
          <w:szCs w:val="24"/>
        </w:rPr>
        <w:t>，直接体现了接受过健康教育对提升疾病认知的直接作用。所以要加强对患者的健康教育，提升患者的疾病知识认知现状，从而达到控制疾病的效果，减轻家庭和社会的负担。</w:t>
      </w:r>
    </w:p>
    <w:p>
      <w:pPr>
        <w:spacing w:line="360" w:lineRule="auto"/>
        <w:ind w:firstLineChars="200"/>
        <w:jc w:val="both"/>
        <w:snapToGrid w:val="false"/>
        <w:rPr>
          <w:rFonts w:ascii="宋体" w:hAnsi="宋体" w:eastAsia="宋体" w:cs="宋体"/>
          <w:sz w:val="24"/>
          <w:szCs w:val="24"/>
        </w:rPr>
      </w:pPr>
      <w:r>
        <w:rPr>
          <w:rFonts w:ascii="Times New Roman" w:hAnsi="Times New Roman" w:eastAsia="宋体"/>
          <w:sz w:val="24"/>
          <w:szCs w:val="24"/>
        </w:rPr>
        <w:t>血糖、病程、并发症等临床指标未显示出显著相关性，说明患者的疾病认知水平并非由病情严重程度直接决定，即使病程长、血糖控制不佳或合并并发症，也未必会主动提升对疾病的了解，反应出社区患者的认知提升并非随病情发展而加强了解，需外部干预。</w:t>
      </w:r>
    </w:p>
    <w:p>
      <w:pPr>
        <w:spacing w:line="360" w:lineRule="auto"/>
        <w:ind w:firstLineChars="200"/>
        <w:jc w:val="both"/>
        <w:numPr>
          <w:ilvl w:val="0"/>
          <w:numId w:val="0"/>
        </w:numPr>
        <w:snapToGrid w:val="false"/>
        <w:outlineLvl w:val="1"/>
        <w:rPr>
          <w:rFonts w:ascii="宋体" w:hAnsi="宋体" w:eastAsia="宋体" w:cs="宋体"/>
          <w:b/>
          <w:bCs/>
          <w:sz w:val="30"/>
          <w:szCs w:val="30"/>
        </w:rPr>
      </w:pPr>
      <w:bookmarkStart w:name="__RefHeading___Toc224858198" w:id="29"/>
      <w:bookmarkEnd w:id="29"/>
      <w:r>
        <w:rPr>
          <w:rFonts w:ascii="Times New Roman" w:hAnsi="Times New Roman" w:eastAsia="宋体"/>
          <w:sz w:val="24"/>
          <w:szCs w:val="24"/>
        </w:rPr>
        <w:t>5.2</w:t>
      </w:r>
      <w:r>
        <w:rPr>
          <w:rFonts w:ascii="Times New Roman" w:hAnsi="Times New Roman" w:eastAsia="宋体"/>
          <w:sz w:val="24"/>
          <w:szCs w:val="24"/>
        </w:rPr>
        <w:t>多因素分析的关键结论：核心影响因素的筛选与验证</w:t>
      </w:r>
    </w:p>
    <w:p>
      <w:pPr>
        <w:spacing w:line="360" w:lineRule="auto"/>
        <w:ind w:firstLineChars="200"/>
        <w:jc w:val="both"/>
        <w:snapToGrid w:val="false"/>
        <w:rPr>
          <w:rFonts w:ascii="宋体" w:hAnsi="宋体" w:eastAsia="宋体" w:cs="宋体"/>
          <w:sz w:val="24"/>
          <w:szCs w:val="24"/>
        </w:rPr>
      </w:pPr>
      <w:r>
        <w:rPr>
          <w:rFonts w:ascii="Times New Roman" w:hAnsi="Times New Roman" w:eastAsia="宋体"/>
          <w:sz w:val="24"/>
          <w:szCs w:val="24"/>
        </w:rPr>
        <w:t>将单因素有统计学意义的变量纳入多因素分析后，最终明确年龄、文化程度、家庭月收入、接受过健康教育是社区</w:t>
      </w:r>
      <w:r>
        <w:rPr>
          <w:rFonts w:ascii="Times New Roman" w:hAnsi="Times New Roman" w:eastAsia="宋体"/>
          <w:sz w:val="24"/>
          <w:szCs w:val="24"/>
        </w:rPr>
        <w:t>2</w:t>
      </w:r>
      <w:r>
        <w:rPr>
          <w:rFonts w:ascii="Times New Roman" w:hAnsi="Times New Roman" w:eastAsia="宋体"/>
          <w:sz w:val="24"/>
          <w:szCs w:val="24"/>
        </w:rPr>
        <w:t>型糖尿病患者疾病认知水平的独立影响因素（</w:t>
      </w:r>
      <w:r>
        <w:rPr>
          <w:rFonts w:ascii="Times New Roman" w:hAnsi="Times New Roman" w:eastAsia="宋体"/>
          <w:sz w:val="24"/>
          <w:szCs w:val="24"/>
        </w:rPr>
        <w:t>P</w:t>
      </w:r>
      <w:r>
        <w:rPr>
          <w:rFonts w:ascii="Times New Roman" w:hAnsi="Times New Roman" w:eastAsia="宋体"/>
          <w:sz w:val="24"/>
          <w:szCs w:val="24"/>
        </w:rPr>
        <w:t>＜</w:t>
      </w:r>
      <w:r>
        <w:rPr>
          <w:rFonts w:ascii="Times New Roman" w:hAnsi="Times New Roman" w:eastAsia="宋体"/>
          <w:sz w:val="24"/>
          <w:szCs w:val="24"/>
        </w:rPr>
        <w:t>0.05</w:t>
      </w:r>
      <w:r>
        <w:rPr>
          <w:rFonts w:ascii="Times New Roman" w:hAnsi="Times New Roman" w:eastAsia="宋体"/>
          <w:sz w:val="24"/>
          <w:szCs w:val="24"/>
        </w:rPr>
        <w:t>），职业、居住地、吸烟、家族史等变量的独立作用消失，这一结果更具实践指导价值，可明确干预的核心靶点。</w:t>
      </w:r>
    </w:p>
    <w:p>
      <w:pPr>
        <w:spacing w:line="360" w:lineRule="auto"/>
        <w:ind w:firstLineChars="200"/>
        <w:jc w:val="both"/>
        <w:snapToGrid w:val="false"/>
        <w:rPr>
          <w:rFonts w:ascii="宋体" w:hAnsi="宋体" w:eastAsia="宋体" w:cs="宋体"/>
          <w:b/>
          <w:sz w:val="24"/>
          <w:szCs w:val="24"/>
        </w:rPr>
      </w:pPr>
      <w:r>
        <w:rPr>
          <w:rFonts w:ascii="Times New Roman" w:hAnsi="Times New Roman" w:eastAsia="宋体"/>
          <w:sz w:val="24"/>
          <w:szCs w:val="24"/>
        </w:rPr>
        <w:t>年龄是重要独立保护因素：＜</w:t>
      </w:r>
      <w:r>
        <w:rPr>
          <w:rFonts w:ascii="Times New Roman" w:hAnsi="Times New Roman" w:eastAsia="宋体"/>
          <w:sz w:val="24"/>
          <w:szCs w:val="24"/>
        </w:rPr>
        <w:t>40</w:t>
      </w:r>
      <w:r>
        <w:rPr>
          <w:rFonts w:ascii="Times New Roman" w:hAnsi="Times New Roman" w:eastAsia="宋体"/>
          <w:sz w:val="24"/>
          <w:szCs w:val="24"/>
        </w:rPr>
        <w:t>岁患者认知水平的</w:t>
      </w:r>
      <w:r>
        <w:rPr>
          <w:rFonts w:ascii="Times New Roman" w:hAnsi="Times New Roman" w:eastAsia="宋体"/>
          <w:sz w:val="24"/>
          <w:szCs w:val="24"/>
        </w:rPr>
        <w:t>OR</w:t>
      </w:r>
      <w:r>
        <w:rPr>
          <w:rFonts w:ascii="Times New Roman" w:hAnsi="Times New Roman" w:eastAsia="宋体"/>
          <w:sz w:val="24"/>
          <w:szCs w:val="24"/>
        </w:rPr>
        <w:t>值达</w:t>
      </w:r>
      <w:r>
        <w:rPr>
          <w:rFonts w:ascii="Times New Roman" w:hAnsi="Times New Roman" w:eastAsia="宋体"/>
          <w:sz w:val="24"/>
          <w:szCs w:val="24"/>
        </w:rPr>
        <w:t>6.903</w:t>
      </w:r>
      <w:r>
        <w:rPr>
          <w:rFonts w:ascii="Times New Roman" w:hAnsi="Times New Roman" w:eastAsia="宋体"/>
          <w:sz w:val="24"/>
          <w:szCs w:val="24"/>
        </w:rPr>
        <w:t>（</w:t>
      </w:r>
      <w:r>
        <w:rPr>
          <w:rFonts w:ascii="Times New Roman" w:hAnsi="Times New Roman" w:eastAsia="宋体"/>
          <w:sz w:val="24"/>
          <w:szCs w:val="24"/>
        </w:rPr>
        <w:t>95%CI</w:t>
      </w:r>
      <w:r>
        <w:rPr>
          <w:rFonts w:ascii="Times New Roman" w:hAnsi="Times New Roman" w:eastAsia="宋体"/>
          <w:sz w:val="24"/>
          <w:szCs w:val="24"/>
        </w:rPr>
        <w:t>；</w:t>
      </w:r>
      <w:r>
        <w:rPr>
          <w:rFonts w:ascii="Times New Roman" w:hAnsi="Times New Roman" w:eastAsia="宋体"/>
          <w:sz w:val="24"/>
          <w:szCs w:val="24"/>
        </w:rPr>
        <w:t>1.541-30.914</w:t>
      </w:r>
      <w:r>
        <w:rPr>
          <w:rFonts w:ascii="Times New Roman" w:hAnsi="Times New Roman" w:eastAsia="宋体"/>
          <w:sz w:val="24"/>
          <w:szCs w:val="24"/>
        </w:rPr>
        <w:t>），</w:t>
      </w:r>
      <w:r>
        <w:rPr>
          <w:rFonts w:ascii="Times New Roman" w:hAnsi="Times New Roman" w:eastAsia="宋体"/>
          <w:sz w:val="24"/>
          <w:szCs w:val="24"/>
        </w:rPr>
        <w:t>40-60</w:t>
      </w:r>
      <w:r>
        <w:rPr>
          <w:rFonts w:ascii="Times New Roman" w:hAnsi="Times New Roman" w:eastAsia="宋体"/>
          <w:sz w:val="24"/>
          <w:szCs w:val="24"/>
        </w:rPr>
        <w:t>岁患者</w:t>
      </w:r>
      <w:r>
        <w:rPr>
          <w:rFonts w:ascii="Times New Roman" w:hAnsi="Times New Roman" w:eastAsia="宋体"/>
          <w:sz w:val="24"/>
          <w:szCs w:val="24"/>
        </w:rPr>
        <w:t>OR</w:t>
      </w:r>
      <w:r>
        <w:rPr>
          <w:rFonts w:ascii="Times New Roman" w:hAnsi="Times New Roman" w:eastAsia="宋体"/>
          <w:sz w:val="24"/>
          <w:szCs w:val="24"/>
        </w:rPr>
        <w:t>值为</w:t>
      </w:r>
      <w:r>
        <w:rPr>
          <w:rFonts w:ascii="Times New Roman" w:hAnsi="Times New Roman" w:eastAsia="宋体"/>
          <w:sz w:val="24"/>
          <w:szCs w:val="24"/>
        </w:rPr>
        <w:t>3.532</w:t>
      </w:r>
      <w:r>
        <w:rPr>
          <w:rFonts w:ascii="Times New Roman" w:hAnsi="Times New Roman" w:eastAsia="宋体"/>
          <w:sz w:val="24"/>
          <w:szCs w:val="24"/>
        </w:rPr>
        <w:t>（</w:t>
      </w:r>
      <w:r>
        <w:rPr>
          <w:rFonts w:ascii="Times New Roman" w:hAnsi="Times New Roman" w:eastAsia="宋体"/>
          <w:sz w:val="24"/>
          <w:szCs w:val="24"/>
        </w:rPr>
        <w:t>95%CI:1.040-11.997</w:t>
      </w:r>
      <w:r>
        <w:rPr>
          <w:rFonts w:ascii="Times New Roman" w:hAnsi="Times New Roman" w:eastAsia="宋体"/>
          <w:sz w:val="24"/>
          <w:szCs w:val="24"/>
        </w:rPr>
        <w:t>），说明年龄越小，认识水平越高。这可能与中青年群体学习能力、信息获取渠道更丰富，对健康知识的接受度与关注度更高，而老年患者多存在学习能力下降、信息获取单一等问题，成为认知薄弱群体。</w:t>
      </w:r>
    </w:p>
    <w:p>
      <w:pPr>
        <w:spacing w:line="360" w:lineRule="auto"/>
        <w:ind w:firstLineChars="200"/>
        <w:jc w:val="both"/>
        <w:snapToGrid w:val="false"/>
        <w:rPr>
          <w:rFonts w:ascii="宋体" w:hAnsi="宋体" w:eastAsia="宋体" w:cs="宋体"/>
          <w:sz w:val="24"/>
          <w:szCs w:val="24"/>
        </w:rPr>
      </w:pPr>
      <w:r>
        <w:rPr>
          <w:rFonts w:ascii="Times New Roman" w:hAnsi="Times New Roman" w:eastAsia="宋体"/>
          <w:sz w:val="24"/>
          <w:szCs w:val="24"/>
        </w:rPr>
        <w:t>文化程度与及家庭月收入构成认知的双重支撑：初中及以下文化程度患者</w:t>
      </w:r>
      <w:r>
        <w:rPr>
          <w:rFonts w:ascii="Times New Roman" w:hAnsi="Times New Roman" w:eastAsia="宋体"/>
          <w:sz w:val="24"/>
          <w:szCs w:val="24"/>
        </w:rPr>
        <w:t>OR</w:t>
      </w:r>
      <w:r>
        <w:rPr>
          <w:rFonts w:ascii="Times New Roman" w:hAnsi="Times New Roman" w:eastAsia="宋体"/>
          <w:sz w:val="24"/>
          <w:szCs w:val="24"/>
        </w:rPr>
        <w:t>值仅</w:t>
      </w:r>
      <w:r>
        <w:rPr>
          <w:rFonts w:ascii="Times New Roman" w:hAnsi="Times New Roman" w:eastAsia="宋体"/>
          <w:sz w:val="24"/>
          <w:szCs w:val="24"/>
        </w:rPr>
        <w:t>0.193</w:t>
      </w:r>
      <w:r>
        <w:rPr>
          <w:rFonts w:ascii="Times New Roman" w:hAnsi="Times New Roman" w:eastAsia="宋体"/>
          <w:sz w:val="24"/>
          <w:szCs w:val="24"/>
        </w:rPr>
        <w:t>，中专</w:t>
      </w:r>
      <w:r>
        <w:rPr>
          <w:rFonts w:ascii="Times New Roman" w:hAnsi="Times New Roman" w:eastAsia="宋体"/>
          <w:sz w:val="24"/>
          <w:szCs w:val="24"/>
        </w:rPr>
        <w:t>/</w:t>
      </w:r>
      <w:r>
        <w:rPr>
          <w:rFonts w:ascii="Times New Roman" w:hAnsi="Times New Roman" w:eastAsia="宋体"/>
          <w:sz w:val="24"/>
          <w:szCs w:val="24"/>
        </w:rPr>
        <w:t>高中为</w:t>
      </w:r>
      <w:r>
        <w:rPr>
          <w:rFonts w:ascii="Times New Roman" w:hAnsi="Times New Roman" w:eastAsia="宋体"/>
          <w:sz w:val="24"/>
          <w:szCs w:val="24"/>
        </w:rPr>
        <w:t>0.299</w:t>
      </w:r>
      <w:r>
        <w:rPr>
          <w:rFonts w:ascii="Times New Roman" w:hAnsi="Times New Roman" w:eastAsia="宋体"/>
          <w:sz w:val="24"/>
          <w:szCs w:val="24"/>
        </w:rPr>
        <w:t>，家庭月收入＜</w:t>
      </w:r>
      <w:r>
        <w:rPr>
          <w:rFonts w:ascii="Times New Roman" w:hAnsi="Times New Roman" w:eastAsia="宋体"/>
          <w:sz w:val="24"/>
          <w:szCs w:val="24"/>
        </w:rPr>
        <w:t>3000</w:t>
      </w:r>
      <w:r>
        <w:rPr>
          <w:rFonts w:ascii="Times New Roman" w:hAnsi="Times New Roman" w:eastAsia="宋体"/>
          <w:sz w:val="24"/>
          <w:szCs w:val="24"/>
        </w:rPr>
        <w:t>元患者</w:t>
      </w:r>
      <w:r>
        <w:rPr>
          <w:rFonts w:ascii="Times New Roman" w:hAnsi="Times New Roman" w:eastAsia="宋体"/>
          <w:sz w:val="24"/>
          <w:szCs w:val="24"/>
        </w:rPr>
        <w:t>OR</w:t>
      </w:r>
      <w:r>
        <w:rPr>
          <w:rFonts w:ascii="Times New Roman" w:hAnsi="Times New Roman" w:eastAsia="宋体"/>
          <w:sz w:val="24"/>
          <w:szCs w:val="24"/>
        </w:rPr>
        <w:t>值</w:t>
      </w:r>
      <w:r>
        <w:rPr>
          <w:rFonts w:ascii="Times New Roman" w:hAnsi="Times New Roman" w:eastAsia="宋体"/>
          <w:sz w:val="24"/>
          <w:szCs w:val="24"/>
        </w:rPr>
        <w:t>0.197</w:t>
      </w:r>
      <w:r>
        <w:rPr>
          <w:rFonts w:ascii="Times New Roman" w:hAnsi="Times New Roman" w:eastAsia="宋体"/>
          <w:sz w:val="24"/>
          <w:szCs w:val="24"/>
        </w:rPr>
        <w:t>，均为显著危险因素。</w:t>
      </w:r>
      <w:r>
        <w:rPr>
          <w:rFonts w:ascii="Times New Roman" w:hAnsi="Times New Roman" w:eastAsia="宋体"/>
          <w:sz w:val="24"/>
          <w:szCs w:val="24"/>
          <w:color w:val="000000"/>
        </w:rPr>
        <w:t>文化程度与知识水平密切相关， 随着文化程度的增高，患者的知识水平相应增高， 这与以往的文献显示一致</w:t>
      </w:r>
      <w:r>
        <w:rPr>
          <w:rFonts w:ascii="Times New Roman" w:hAnsi="Times New Roman" w:eastAsia="宋体"/>
          <w:sz w:val="24"/>
          <w:szCs w:val="24"/>
          <w:color w:val="000000"/>
          <w:vertAlign w:val="superscript"/>
        </w:rPr>
        <w:t>[12]</w:t>
      </w:r>
      <w:r>
        <w:rPr>
          <w:rFonts w:ascii="Times New Roman" w:hAnsi="Times New Roman" w:eastAsia="宋体"/>
          <w:sz w:val="24"/>
          <w:szCs w:val="24"/>
        </w:rPr>
        <w:t>，</w:t>
      </w:r>
      <w:r>
        <w:rPr>
          <w:rFonts w:ascii="Times New Roman" w:hAnsi="Times New Roman" w:eastAsia="宋体"/>
          <w:sz w:val="24"/>
          <w:szCs w:val="24"/>
        </w:rPr>
        <w:t>患者文化程度越高、阅读理解能力越强</w:t>
      </w:r>
      <w:r>
        <w:rPr>
          <w:rFonts w:ascii="Times New Roman" w:hAnsi="Times New Roman" w:eastAsia="宋体"/>
          <w:sz w:val="24"/>
          <w:szCs w:val="24"/>
        </w:rPr>
        <w:t xml:space="preserve">, </w:t>
      </w:r>
      <w:r>
        <w:rPr>
          <w:rFonts w:ascii="Times New Roman" w:hAnsi="Times New Roman" w:eastAsia="宋体"/>
          <w:sz w:val="24"/>
          <w:szCs w:val="24"/>
        </w:rPr>
        <w:t>糖尿病教育效果越好</w:t>
      </w:r>
      <w:r>
        <w:rPr>
          <w:rFonts w:ascii="Times New Roman" w:hAnsi="Times New Roman" w:eastAsia="宋体"/>
          <w:sz w:val="24"/>
          <w:szCs w:val="24"/>
        </w:rPr>
        <w:t xml:space="preserve">, </w:t>
      </w:r>
      <w:r>
        <w:rPr>
          <w:rFonts w:ascii="Times New Roman" w:hAnsi="Times New Roman" w:eastAsia="宋体"/>
          <w:sz w:val="24"/>
          <w:szCs w:val="24"/>
        </w:rPr>
        <w:t>提示对于文化程度不高的患者要使用浅显的语言</w:t>
      </w:r>
      <w:r>
        <w:rPr>
          <w:rFonts w:ascii="Times New Roman" w:hAnsi="Times New Roman" w:eastAsia="宋体"/>
          <w:sz w:val="24"/>
          <w:szCs w:val="24"/>
        </w:rPr>
        <w:t>,</w:t>
      </w:r>
      <w:r>
        <w:rPr>
          <w:rFonts w:ascii="Times New Roman" w:hAnsi="Times New Roman" w:eastAsia="宋体"/>
          <w:sz w:val="24"/>
          <w:szCs w:val="24"/>
        </w:rPr>
        <w:t>教育目标应适当降低</w:t>
      </w:r>
      <w:r>
        <w:rPr>
          <w:rFonts w:ascii="Times New Roman" w:hAnsi="Times New Roman" w:eastAsia="宋体"/>
          <w:sz w:val="24"/>
          <w:szCs w:val="24"/>
        </w:rPr>
        <w:t>,</w:t>
      </w:r>
      <w:r>
        <w:rPr>
          <w:rFonts w:ascii="Times New Roman" w:hAnsi="Times New Roman" w:eastAsia="宋体"/>
          <w:sz w:val="24"/>
          <w:szCs w:val="24"/>
        </w:rPr>
        <w:t>目标也应更具体。</w:t>
      </w:r>
      <w:r>
        <w:rPr>
          <w:rFonts w:ascii="Times New Roman" w:hAnsi="Times New Roman" w:eastAsia="宋体"/>
          <w:sz w:val="24"/>
          <w:szCs w:val="24"/>
        </w:rPr>
        <w:t>文化程度决定了患者对疾病知识的理解、解读能力，而家庭月收入则影响患者获取健康信息、参与健康宣教的时间与经济成本，</w:t>
      </w:r>
      <w:r>
        <w:rPr>
          <w:rFonts w:ascii="Times New Roman" w:hAnsi="Times New Roman" w:eastAsia="宋体"/>
          <w:sz w:val="24"/>
          <w:szCs w:val="24"/>
          <w:color w:val="000000"/>
        </w:rPr>
        <w:t>经济状况的好坏对患者健康知识掌握的全面与否呈正相关，经济条件好的患者，可以通过各种渠道了解较全面的徤康知识， 参加各种健康教育讲座，以便增长自身对此疾病的知识</w:t>
      </w:r>
      <w:r>
        <w:rPr>
          <w:rFonts w:ascii="Times New Roman" w:hAnsi="Times New Roman" w:eastAsia="宋体"/>
          <w:sz w:val="24"/>
          <w:szCs w:val="24"/>
          <w:color w:val="000000"/>
          <w:vertAlign w:val="superscript"/>
        </w:rPr>
        <w:t>[13]</w:t>
      </w:r>
      <w:r>
        <w:rPr>
          <w:rFonts w:ascii="Times New Roman" w:hAnsi="Times New Roman" w:eastAsia="宋体"/>
          <w:sz w:val="24"/>
          <w:szCs w:val="24"/>
          <w:color w:val="000000"/>
        </w:rPr>
        <w:t>。</w:t>
      </w:r>
      <w:r>
        <w:rPr>
          <w:rFonts w:ascii="Times New Roman" w:hAnsi="Times New Roman" w:eastAsia="宋体"/>
          <w:sz w:val="24"/>
          <w:szCs w:val="24"/>
        </w:rPr>
        <w:t>二者共同构成了疾病认知的“能力</w:t>
      </w:r>
      <w:r>
        <w:rPr>
          <w:rFonts w:ascii="Times New Roman" w:hAnsi="Times New Roman" w:eastAsia="宋体"/>
          <w:sz w:val="24"/>
          <w:szCs w:val="24"/>
        </w:rPr>
        <w:t>-</w:t>
      </w:r>
      <w:r>
        <w:rPr>
          <w:rFonts w:ascii="Times New Roman" w:hAnsi="Times New Roman" w:eastAsia="宋体"/>
          <w:sz w:val="24"/>
          <w:szCs w:val="24"/>
        </w:rPr>
        <w:t>资源”双重支撑，对于收入低、低文化人群，要加强对此类人群的干预，将此类人群作为认知干预群体的重难点。</w:t>
      </w:r>
    </w:p>
    <w:p>
      <w:pPr>
        <w:spacing w:line="360" w:lineRule="auto"/>
        <w:ind w:firstLineChars="200"/>
        <w:jc w:val="both"/>
        <w:snapToGrid w:val="false"/>
        <w:rPr>
          <w:rFonts w:ascii="宋体" w:hAnsi="宋体" w:eastAsia="宋体" w:cs="宋体"/>
          <w:sz w:val="24"/>
          <w:szCs w:val="24"/>
        </w:rPr>
      </w:pPr>
      <w:r>
        <w:rPr>
          <w:rFonts w:ascii="Times New Roman" w:hAnsi="Times New Roman" w:eastAsia="宋体"/>
          <w:sz w:val="24"/>
          <w:szCs w:val="24"/>
        </w:rPr>
        <w:t>健康教育是最具可操作性的独立干预因素：接受过健康教育的患者</w:t>
      </w:r>
      <w:r>
        <w:rPr>
          <w:rFonts w:ascii="Times New Roman" w:hAnsi="Times New Roman" w:eastAsia="宋体"/>
          <w:sz w:val="24"/>
          <w:szCs w:val="24"/>
        </w:rPr>
        <w:t>OR</w:t>
      </w:r>
      <w:r>
        <w:rPr>
          <w:rFonts w:ascii="Times New Roman" w:hAnsi="Times New Roman" w:eastAsia="宋体"/>
          <w:sz w:val="24"/>
          <w:szCs w:val="24"/>
        </w:rPr>
        <w:t>值达</w:t>
      </w:r>
      <w:r>
        <w:rPr>
          <w:rFonts w:ascii="Times New Roman" w:hAnsi="Times New Roman" w:eastAsia="宋体"/>
          <w:sz w:val="24"/>
          <w:szCs w:val="24"/>
        </w:rPr>
        <w:t>4.95</w:t>
      </w:r>
      <w:r>
        <w:rPr>
          <w:rFonts w:ascii="Times New Roman" w:hAnsi="Times New Roman" w:eastAsia="宋体"/>
          <w:sz w:val="24"/>
          <w:szCs w:val="24"/>
        </w:rPr>
        <w:t>（</w:t>
      </w:r>
      <w:r>
        <w:rPr>
          <w:rFonts w:ascii="Times New Roman" w:hAnsi="Times New Roman" w:eastAsia="宋体"/>
          <w:sz w:val="24"/>
          <w:szCs w:val="24"/>
        </w:rPr>
        <w:t>95%CI</w:t>
      </w:r>
      <w:r>
        <w:rPr>
          <w:rFonts w:ascii="Times New Roman" w:hAnsi="Times New Roman" w:eastAsia="宋体"/>
          <w:sz w:val="24"/>
          <w:szCs w:val="24"/>
        </w:rPr>
        <w:t>：</w:t>
      </w:r>
      <w:r>
        <w:rPr>
          <w:rFonts w:ascii="Times New Roman" w:hAnsi="Times New Roman" w:eastAsia="宋体"/>
          <w:sz w:val="24"/>
          <w:szCs w:val="24"/>
        </w:rPr>
        <w:t>2.071-11.827</w:t>
      </w:r>
      <w:r>
        <w:rPr>
          <w:rFonts w:ascii="Times New Roman" w:hAnsi="Times New Roman" w:eastAsia="宋体"/>
          <w:sz w:val="24"/>
          <w:szCs w:val="24"/>
        </w:rPr>
        <w:t>），是提升认知水平的最强正向因素。这一结果验证了健康宣教的有效性，也说明社区糖尿病健康教育管理中，健康教育的覆盖与落实程度，直接决定了患者认知程度的的高低，是后续干预最易切入、效果最明确的环节。</w:t>
      </w:r>
      <w:r>
        <w:rPr>
          <w:rFonts w:ascii="Times New Roman" w:hAnsi="Times New Roman" w:eastAsia="宋体"/>
          <w:sz w:val="24"/>
          <w:szCs w:val="24"/>
        </w:rPr>
        <w:t>患者接受糖尿病教育课程在对糖尿病教育效果影响作用中位列第一</w:t>
      </w:r>
      <w:r>
        <w:rPr>
          <w:rFonts w:ascii="Times New Roman" w:hAnsi="Times New Roman" w:eastAsia="宋体"/>
          <w:sz w:val="24"/>
          <w:szCs w:val="24"/>
        </w:rPr>
        <w:t xml:space="preserve">, </w:t>
      </w:r>
      <w:r>
        <w:rPr>
          <w:rFonts w:ascii="Times New Roman" w:hAnsi="Times New Roman" w:eastAsia="宋体"/>
          <w:sz w:val="24"/>
          <w:szCs w:val="24"/>
        </w:rPr>
        <w:t>说明开展系统的糖尿病</w:t>
      </w:r>
      <w:r>
        <w:rPr>
          <w:rFonts w:ascii="Times New Roman" w:hAnsi="Times New Roman" w:eastAsia="宋体"/>
          <w:sz w:val="24"/>
          <w:szCs w:val="24"/>
        </w:rPr>
        <w:t>健康宣教</w:t>
      </w:r>
      <w:r>
        <w:rPr>
          <w:rFonts w:ascii="Times New Roman" w:hAnsi="Times New Roman" w:eastAsia="宋体"/>
          <w:sz w:val="24"/>
          <w:szCs w:val="24"/>
        </w:rPr>
        <w:t>在糖尿病教育中的重要作用</w:t>
      </w:r>
      <w:r>
        <w:rPr>
          <w:rFonts w:ascii="Times New Roman" w:hAnsi="Times New Roman" w:eastAsia="宋体"/>
          <w:sz w:val="24"/>
          <w:szCs w:val="24"/>
          <w:vertAlign w:val="superscript"/>
        </w:rPr>
        <w:t>[12]</w:t>
      </w:r>
      <w:r>
        <w:rPr>
          <w:rFonts w:ascii="Times New Roman" w:hAnsi="Times New Roman" w:eastAsia="宋体"/>
          <w:sz w:val="24"/>
          <w:szCs w:val="24"/>
        </w:rPr>
        <w:t>。</w:t>
      </w:r>
      <w:r>
        <w:rPr>
          <w:rFonts w:ascii="Times New Roman" w:hAnsi="Times New Roman" w:eastAsia="宋体"/>
          <w:sz w:val="24"/>
          <w:szCs w:val="24"/>
        </w:rPr>
        <w:t>因此</w:t>
      </w:r>
      <w:r>
        <w:rPr>
          <w:rFonts w:ascii="Times New Roman" w:hAnsi="Times New Roman" w:eastAsia="宋体"/>
          <w:sz w:val="24"/>
          <w:szCs w:val="24"/>
        </w:rPr>
        <w:t>，</w:t>
      </w:r>
      <w:r>
        <w:rPr>
          <w:rFonts w:ascii="Times New Roman" w:hAnsi="Times New Roman" w:eastAsia="宋体"/>
          <w:sz w:val="24"/>
          <w:szCs w:val="24"/>
        </w:rPr>
        <w:t>我们要设计</w:t>
      </w:r>
      <w:r>
        <w:rPr>
          <w:rFonts w:ascii="Times New Roman" w:hAnsi="Times New Roman" w:eastAsia="宋体"/>
          <w:sz w:val="24"/>
          <w:szCs w:val="24"/>
        </w:rPr>
        <w:t>要有人性化、个体化的健康教育形式来满足患者的</w:t>
      </w:r>
      <w:r>
        <w:rPr>
          <w:rFonts w:ascii="Times New Roman" w:hAnsi="Times New Roman" w:eastAsia="宋体"/>
          <w:sz w:val="24"/>
          <w:szCs w:val="24"/>
        </w:rPr>
        <w:t>糖尿病健康教育。</w:t>
      </w:r>
    </w:p>
    <w:p>
      <w:pPr>
        <w:spacing w:line="360" w:lineRule="auto"/>
        <w:ind w:firstLineChars="200"/>
        <w:jc w:val="both"/>
        <w:snapToGrid w:val="false"/>
        <w:rPr>
          <w:rFonts w:ascii="宋体" w:hAnsi="宋体" w:eastAsia="宋体" w:cs="宋体"/>
          <w:sz w:val="24"/>
          <w:szCs w:val="24"/>
        </w:rPr>
      </w:pPr>
      <w:r>
        <w:rPr>
          <w:rFonts w:ascii="Times New Roman" w:hAnsi="Times New Roman" w:eastAsia="宋体"/>
          <w:sz w:val="24"/>
          <w:szCs w:val="24"/>
        </w:rPr>
        <w:t>职业、居住地等变量的非独立作用解读：职业、居住低在单因素中显著但多因素中无统计学意义，原因可能为这些变量与文化程度、家庭月收入存在共线性——如城镇患者多为高文华、高收入群体，脑力劳动者文化程度与收入水平普遍更高，其对认知的影响已倍核心变量覆盖，并非独立作业。而吸烟、家族史的非独立作用，提示其对认知的影响需通过其他变量介导，并非直接影响因素。</w:t>
      </w:r>
    </w:p>
    <w:p>
      <w:pPr>
        <w:spacing w:line="360" w:lineRule="auto"/>
        <w:ind w:firstLineChars="200"/>
        <w:jc w:val="both"/>
        <w:numPr>
          <w:ilvl w:val="0"/>
          <w:numId w:val="0"/>
        </w:numPr>
        <w:snapToGrid w:val="false"/>
        <w:outlineLvl w:val="1"/>
        <w:rPr>
          <w:rFonts w:ascii="宋体" w:hAnsi="宋体" w:eastAsia="宋体" w:cs="宋体"/>
          <w:b/>
          <w:sz w:val="30"/>
          <w:szCs w:val="30"/>
        </w:rPr>
      </w:pPr>
      <w:bookmarkStart w:name="__RefHeading___Toc224858199" w:id="30"/>
      <w:bookmarkEnd w:id="30"/>
      <w:r>
        <w:rPr>
          <w:rFonts w:ascii="Times New Roman" w:hAnsi="Times New Roman" w:eastAsia="宋体"/>
          <w:sz w:val="24"/>
          <w:szCs w:val="24"/>
        </w:rPr>
        <w:t>5.3</w:t>
      </w:r>
      <w:r>
        <w:rPr>
          <w:rFonts w:ascii="Times New Roman" w:hAnsi="Times New Roman" w:eastAsia="宋体"/>
          <w:sz w:val="24"/>
          <w:szCs w:val="24"/>
        </w:rPr>
        <w:t>研究结果对社区糖尿病健康管理的实践意义</w:t>
      </w:r>
    </w:p>
    <w:p>
      <w:pPr>
        <w:spacing w:line="360" w:lineRule="auto"/>
        <w:ind w:firstLineChars="200"/>
        <w:jc w:val="both"/>
        <w:snapToGrid w:val="false"/>
        <w:rPr>
          <w:rFonts w:ascii="宋体" w:hAnsi="宋体" w:eastAsia="宋体" w:cs="宋体"/>
          <w:sz w:val="24"/>
          <w:szCs w:val="24"/>
        </w:rPr>
      </w:pPr>
      <w:r>
        <w:rPr>
          <w:rFonts w:ascii="Times New Roman" w:hAnsi="Times New Roman" w:eastAsia="宋体"/>
          <w:sz w:val="24"/>
          <w:szCs w:val="24"/>
        </w:rPr>
        <w:t>结合本次分析结果，社区</w:t>
      </w:r>
      <w:r>
        <w:rPr>
          <w:rFonts w:ascii="Times New Roman" w:hAnsi="Times New Roman" w:eastAsia="宋体"/>
          <w:sz w:val="24"/>
          <w:szCs w:val="24"/>
        </w:rPr>
        <w:t>2</w:t>
      </w:r>
      <w:r>
        <w:rPr>
          <w:rFonts w:ascii="Times New Roman" w:hAnsi="Times New Roman" w:eastAsia="宋体"/>
          <w:sz w:val="24"/>
          <w:szCs w:val="24"/>
        </w:rPr>
        <w:t>型糖尿病疾病认识干预需聚焦重点人群、强化核心手段、兼顾基础保障，制定针对性策略：</w:t>
      </w:r>
    </w:p>
    <w:p>
      <w:pPr>
        <w:spacing w:line="360" w:lineRule="auto"/>
        <w:ind w:firstLineChars="200"/>
        <w:jc w:val="both"/>
        <w:snapToGrid w:val="false"/>
        <w:rPr>
          <w:rFonts w:ascii="宋体" w:hAnsi="宋体" w:eastAsia="宋体" w:cs="宋体"/>
          <w:sz w:val="24"/>
          <w:szCs w:val="24"/>
        </w:rPr>
      </w:pPr>
      <w:r>
        <w:rPr>
          <w:rFonts w:ascii="Times New Roman" w:hAnsi="Times New Roman" w:eastAsia="宋体"/>
          <w:sz w:val="24"/>
          <w:szCs w:val="24"/>
        </w:rPr>
        <w:t>针对知识较为薄弱的核心群体，我们可以采取更有针对性的干预措施：在开展认知干预的过程中，可以把</w:t>
      </w:r>
      <w:r>
        <w:rPr>
          <w:rFonts w:ascii="Times New Roman" w:hAnsi="Times New Roman" w:eastAsia="宋体"/>
          <w:sz w:val="24"/>
          <w:szCs w:val="24"/>
        </w:rPr>
        <w:t>60</w:t>
      </w:r>
      <w:r>
        <w:rPr>
          <w:rFonts w:ascii="Times New Roman" w:hAnsi="Times New Roman" w:eastAsia="宋体"/>
          <w:sz w:val="24"/>
          <w:szCs w:val="24"/>
        </w:rPr>
        <w:t>岁以上的老年人、初中及以下文化程度、家庭月收入低于</w:t>
      </w:r>
      <w:r>
        <w:rPr>
          <w:rFonts w:ascii="Times New Roman" w:hAnsi="Times New Roman" w:eastAsia="宋体"/>
          <w:sz w:val="24"/>
          <w:szCs w:val="24"/>
        </w:rPr>
        <w:t>3000</w:t>
      </w:r>
      <w:r>
        <w:rPr>
          <w:rFonts w:ascii="Times New Roman" w:hAnsi="Times New Roman" w:eastAsia="宋体"/>
          <w:sz w:val="24"/>
          <w:szCs w:val="24"/>
        </w:rPr>
        <w:t>元、农村地区居住的患者作为认知干预的重点对象。根据老年人的学习特点，采用通俗易懂的形式（比如图文手册、视频宣传、面对面讲解），降低知识的理解难度。而对于针对低收入的群体，可以开展免费的社区健康讲座，或是上门入户宣教，减少患者获取健康知识的时间和经济成本。</w:t>
      </w:r>
    </w:p>
    <w:p>
      <w:pPr>
        <w:spacing w:line="360" w:lineRule="auto"/>
        <w:ind w:firstLineChars="200"/>
        <w:jc w:val="both"/>
        <w:snapToGrid w:val="false"/>
        <w:rPr>
          <w:rFonts w:ascii="宋体" w:hAnsi="宋体" w:eastAsia="宋体" w:cs="宋体"/>
          <w:sz w:val="24"/>
          <w:szCs w:val="24"/>
        </w:rPr>
      </w:pPr>
      <w:r>
        <w:rPr>
          <w:rFonts w:ascii="Times New Roman" w:hAnsi="Times New Roman" w:eastAsia="宋体"/>
          <w:sz w:val="24"/>
          <w:szCs w:val="24"/>
        </w:rPr>
        <w:t>强化健康教育的核心作用，实现宣教的全面覆盖与常态化：将健康教育作为社区糖尿病管理的一项基础工作，不断扩大宣教覆盖的范围，尤其是针对于无业以及退休、吸烟等单因素中认识薄弱的群体，主动开展宣教。在此基础上进一步丰富宣教的内容，不仅包含糖尿病的病因、疾病的症状，还涵盖血糖的监测、危险因素的控制、合理的运动、规范用药等知识，提升宣教的实用性。</w:t>
      </w:r>
    </w:p>
    <w:p>
      <w:pPr>
        <w:spacing w:line="360" w:lineRule="auto"/>
        <w:ind w:firstLineChars="200"/>
        <w:jc w:val="both"/>
        <w:snapToGrid w:val="false"/>
        <w:rPr>
          <w:rFonts w:ascii="宋体" w:hAnsi="宋体" w:eastAsia="宋体" w:cs="宋体"/>
          <w:sz w:val="24"/>
          <w:szCs w:val="24"/>
        </w:rPr>
      </w:pPr>
      <w:r>
        <w:rPr>
          <w:rFonts w:ascii="Times New Roman" w:hAnsi="Times New Roman" w:eastAsia="宋体"/>
          <w:sz w:val="24"/>
          <w:szCs w:val="24"/>
        </w:rPr>
        <w:t>联动多维度资源，改善认知的基础支撑条件：结合乡村振兴和社区公共服务提升，逐步的缩小城乡糖尿病知识的资源差距。通过与社区居委会、企业事业单位开展的合作，采取针对不同职业、收入群体开展的差异化宣教，例如为体力劳动的人群、无业及退休的人员开展灵活的宣教时间，以提升参与积极性和宣教效果。</w:t>
      </w:r>
    </w:p>
    <w:p>
      <w:pPr>
        <w:spacing w:line="360" w:lineRule="auto"/>
        <w:ind w:firstLineChars="200"/>
        <w:jc w:val="both"/>
        <w:snapToGrid w:val="false"/>
        <w:rPr>
          <w:rFonts w:ascii="宋体" w:hAnsi="宋体" w:eastAsia="宋体" w:cs="宋体"/>
          <w:sz w:val="24"/>
          <w:szCs w:val="24"/>
        </w:rPr>
      </w:pPr>
      <w:r>
        <w:rPr>
          <w:rFonts w:ascii="Times New Roman" w:hAnsi="Times New Roman" w:eastAsia="宋体"/>
          <w:sz w:val="24"/>
          <w:szCs w:val="24"/>
        </w:rPr>
        <w:t>弱化病情指标带来的被动影响，强化主动认知的引导：由于患者的病程、血糖等临床指标与患者的认知无显著关联。所以社区的医护人员需避免“患者的病情加重自然会重视的认知”这一误区，对所有的糖尿病患者，无论其病情轻重、病程长短，都应在确诊后及时的开展疾病认知宣教，实现早干预、早提升。</w:t>
      </w:r>
    </w:p>
    <w:p>
      <w:pPr>
        <w:spacing w:line="360" w:lineRule="auto"/>
        <w:ind w:firstLineChars="200"/>
        <w:jc w:val="both"/>
        <w:numPr>
          <w:ilvl w:val="0"/>
          <w:numId w:val="0"/>
        </w:numPr>
        <w:snapToGrid w:val="false"/>
        <w:outlineLvl w:val="1"/>
        <w:rPr>
          <w:rFonts w:ascii="宋体" w:hAnsi="宋体" w:eastAsia="宋体" w:cs="宋体"/>
          <w:b/>
          <w:bCs/>
          <w:sz w:val="30"/>
          <w:szCs w:val="30"/>
        </w:rPr>
      </w:pPr>
      <w:bookmarkStart w:name="__RefHeading___Toc224858200" w:id="31"/>
      <w:bookmarkEnd w:id="31"/>
      <w:r>
        <w:rPr>
          <w:rFonts w:ascii="Times New Roman" w:hAnsi="Times New Roman" w:eastAsia="宋体"/>
          <w:sz w:val="24"/>
          <w:szCs w:val="24"/>
        </w:rPr>
        <w:t>5.4</w:t>
      </w:r>
      <w:r>
        <w:rPr>
          <w:rFonts w:ascii="Times New Roman" w:hAnsi="Times New Roman" w:eastAsia="宋体"/>
          <w:sz w:val="24"/>
          <w:szCs w:val="24"/>
        </w:rPr>
        <w:t>研究的潜在局限性</w:t>
      </w:r>
    </w:p>
    <w:p>
      <w:pPr>
        <w:spacing w:line="360" w:lineRule="auto"/>
        <w:ind w:firstLineChars="200"/>
        <w:jc w:val="both"/>
        <w:snapToGrid w:val="false"/>
        <w:rPr>
          <w:rFonts w:ascii="宋体" w:hAnsi="宋体" w:eastAsia="宋体" w:cs="宋体"/>
          <w:sz w:val="24"/>
          <w:szCs w:val="24"/>
        </w:rPr>
      </w:pPr>
      <w:r>
        <w:rPr>
          <w:rFonts w:ascii="Times New Roman" w:hAnsi="Times New Roman" w:eastAsia="宋体"/>
          <w:sz w:val="24"/>
          <w:szCs w:val="24"/>
        </w:rPr>
        <w:t>本此研究虽明确了核心影响因素，但仍存在一定的局限性：一是研究对象为社区患者，其样本的代表性有地域限制，该研究的结果未必适用于其他地区：二是未考虑患者的健康信息获取渠道、家庭健康认知等中介变量，可能存在遗漏部分的影响因素：三是知识水平的评价未进行长期的随访，无法明确健康教育在长期内起到的效果及认知水平对血糖控制的效果、并发症发生的后续影响。在今后的相关研究中，可扩大样本的范围，把更多可能存在的中介变量纳入分析，同时也可以开展前瞻性的随访研究，进一步的去验证认知水平与糖尿病临床指标之间的联系。</w:t>
      </w:r>
    </w:p>
    <w:p>
      <w:pPr>
        <w:spacing w:line="360" w:lineRule="auto"/>
        <w:ind w:firstLineChars="200"/>
        <w:jc w:val="both"/>
        <w:numPr>
          <w:ilvl w:val="0"/>
          <w:numId w:val="0"/>
        </w:numPr>
        <w:snapToGrid w:val="false"/>
        <w:outlineLvl w:val="1"/>
        <w:rPr>
          <w:rFonts w:ascii="宋体" w:hAnsi="宋体" w:eastAsia="宋体" w:cs="宋体"/>
          <w:b/>
          <w:bCs/>
          <w:sz w:val="30"/>
          <w:szCs w:val="30"/>
        </w:rPr>
      </w:pPr>
      <w:bookmarkStart w:name="__RefHeading___Toc224858201" w:id="32"/>
      <w:bookmarkEnd w:id="32"/>
      <w:r>
        <w:rPr>
          <w:rFonts w:ascii="Times New Roman" w:hAnsi="Times New Roman" w:eastAsia="宋体"/>
          <w:sz w:val="24"/>
          <w:szCs w:val="24"/>
        </w:rPr>
        <w:t>5.5</w:t>
      </w:r>
      <w:r>
        <w:rPr>
          <w:rFonts w:ascii="Times New Roman" w:hAnsi="Times New Roman" w:eastAsia="宋体"/>
          <w:sz w:val="24"/>
          <w:szCs w:val="24"/>
        </w:rPr>
        <w:t>总结</w:t>
      </w:r>
    </w:p>
    <w:p>
      <w:pPr>
        <w:spacing w:line="360" w:lineRule="auto"/>
        <w:ind w:firstLineChars="200"/>
        <w:jc w:val="both"/>
        <w:snapToGrid w:val="false"/>
        <w:rPr>
          <w:rFonts w:ascii="宋体" w:hAnsi="宋体" w:eastAsia="宋体" w:cs="宋体"/>
          <w:sz w:val="24"/>
          <w:szCs w:val="24"/>
        </w:rPr>
      </w:pPr>
      <w:r>
        <w:rPr>
          <w:rFonts w:ascii="Times New Roman" w:hAnsi="Times New Roman" w:eastAsia="宋体"/>
          <w:sz w:val="24"/>
          <w:szCs w:val="24"/>
        </w:rPr>
        <w:t>本次研究</w:t>
      </w:r>
      <w:r>
        <w:rPr>
          <w:rFonts w:ascii="Times New Roman" w:hAnsi="Times New Roman" w:eastAsia="宋体"/>
          <w:sz w:val="24"/>
          <w:szCs w:val="24"/>
        </w:rPr>
        <w:t xml:space="preserve"> </w:t>
      </w:r>
      <w:r>
        <w:rPr>
          <w:rFonts w:ascii="Times New Roman" w:hAnsi="Times New Roman" w:eastAsia="宋体"/>
          <w:sz w:val="24"/>
          <w:szCs w:val="24"/>
        </w:rPr>
        <w:t>证实，社区</w:t>
      </w:r>
      <w:r>
        <w:rPr>
          <w:rFonts w:ascii="Times New Roman" w:hAnsi="Times New Roman" w:eastAsia="宋体"/>
          <w:sz w:val="24"/>
          <w:szCs w:val="24"/>
        </w:rPr>
        <w:t>2</w:t>
      </w:r>
      <w:r>
        <w:rPr>
          <w:rFonts w:ascii="Times New Roman" w:hAnsi="Times New Roman" w:eastAsia="宋体"/>
          <w:sz w:val="24"/>
          <w:szCs w:val="24"/>
        </w:rPr>
        <w:t>型糖尿病患者的认知水平并非由病情指标直接决定。而是由年龄、文化程度、家庭月收入等基础社会人口学特征，与接受过健康教育这一外部干预因素共同决定。其中，健康教育是最具可操作性的独立正向因素，为社区糖尿病健康管理提供了明确的干预方向。未来社区糖尿病健康管理工作中，需要以重点薄弱人群为核心，强化健康教育的全面覆盖和个性化，同时兼顾文化、经济、城乡等基础条件的改善，从根本上提升患者的疾病认知水平，为后续血糖控制、并发症防控奠定认知基础，最终提升社区</w:t>
      </w:r>
      <w:r>
        <w:rPr>
          <w:rFonts w:ascii="Times New Roman" w:hAnsi="Times New Roman" w:eastAsia="宋体"/>
          <w:sz w:val="24"/>
          <w:szCs w:val="24"/>
        </w:rPr>
        <w:t>2</w:t>
      </w:r>
      <w:r>
        <w:rPr>
          <w:rFonts w:ascii="Times New Roman" w:hAnsi="Times New Roman" w:eastAsia="宋体"/>
          <w:sz w:val="24"/>
          <w:szCs w:val="24"/>
        </w:rPr>
        <w:t>型糖尿病的整体管理水平。</w:t>
      </w:r>
    </w:p>
    <w:p>
      <w:pPr>
        <w:spacing w:line="360" w:lineRule="auto"/>
        <w:jc w:val="center"/>
        <w:numPr>
          <w:ilvl w:val="0"/>
          <w:numId w:val="0"/>
        </w:numPr>
        <w:outlineLvl w:val="0"/>
      </w:pPr>
      <w:r>
        <w:rPr>
          <w:rFonts w:ascii="Times New Roman" w:hAnsi="Times New Roman" w:eastAsia="宋体"/>
          <w:sz w:val="28"/>
          <w:szCs w:val="28"/>
          <w:b/>
          <w:bCs/>
        </w:rPr>
        <w:br w:type="page"/>
      </w:r>
      <w:bookmarkStart w:name="__RefHeading___Toc224858202" w:id="33"/>
      <w:bookmarkEnd w:id="33"/>
      <w:r>
        <w:rPr>
          <w:rFonts w:ascii="Times New Roman" w:hAnsi="Times New Roman" w:eastAsia="宋体"/>
          <w:sz w:val="28"/>
          <w:szCs w:val="28"/>
          <w:b/>
          <w:bCs/>
        </w:rPr>
        <w:t>参考文献</w:t>
      </w:r>
      <w:r>
        <w:rPr>
          <w:rFonts w:ascii="Times New Roman" w:hAnsi="Times New Roman" w:eastAsia="宋体"/>
          <w:sz w:val="28"/>
          <w:szCs w:val="28"/>
          <w:b/>
          <w:bCs/>
          <w:vanish w:val="false"/>
        </w:rPr>
        <w:commentReference w:id="4"/>
      </w:r>
    </w:p>
    <w:p>
      <w:pPr>
        <w:spacing w:line="288" w:lineRule="auto"/>
        <w:rPr>
          <w:rFonts w:ascii="宋体" w:hAnsi="宋体" w:eastAsia="宋体" w:cs="宋体"/>
          <w:b/>
          <w:sz w:val="24"/>
          <w:szCs w:val="24"/>
        </w:rPr>
      </w:pPr>
      <w:r>
        <w:rPr>
          <w:rFonts w:ascii="宋体" w:hAnsi="宋体" w:eastAsia=""/>
        </w:rPr>
        <w:t xml:space="preserve">[1] </w:t>
      </w:r>
      <w:r>
        <w:rPr>
          <w:rFonts w:ascii="宋体" w:hAnsi="宋体" w:eastAsia=""/>
        </w:rPr>
        <w:t>刘娟娟</w:t>
      </w:r>
      <w:r>
        <w:rPr>
          <w:rFonts w:ascii="宋体" w:hAnsi="宋体" w:eastAsia=""/>
        </w:rPr>
        <w:t>,</w:t>
      </w:r>
      <w:r>
        <w:rPr>
          <w:rFonts w:ascii="宋体" w:hAnsi="宋体" w:eastAsia=""/>
        </w:rPr>
        <w:t>姬学光</w:t>
      </w:r>
      <w:r>
        <w:rPr>
          <w:rFonts w:ascii="宋体" w:hAnsi="宋体" w:eastAsia=""/>
        </w:rPr>
        <w:t>.</w:t>
      </w:r>
      <w:r>
        <w:rPr>
          <w:rFonts w:ascii="宋体" w:hAnsi="宋体" w:eastAsia=""/>
        </w:rPr>
        <w:t>全媒体健康教育对</w:t>
      </w:r>
      <w:r>
        <w:rPr>
          <w:rFonts w:ascii="宋体" w:hAnsi="宋体" w:eastAsia=""/>
        </w:rPr>
        <w:t>2</w:t>
      </w:r>
      <w:r>
        <w:rPr>
          <w:rFonts w:ascii="宋体" w:hAnsi="宋体" w:eastAsia=""/>
        </w:rPr>
        <w:t>型糖尿病患者疾病认知水平及健康生活方式的影响</w:t>
      </w:r>
      <w:r>
        <w:rPr>
          <w:rFonts w:ascii="宋体" w:hAnsi="宋体" w:eastAsia=""/>
        </w:rPr>
        <w:t>[J].</w:t>
      </w:r>
      <w:r>
        <w:rPr>
          <w:rFonts w:ascii="宋体" w:hAnsi="宋体" w:eastAsia=""/>
        </w:rPr>
        <w:t>中国医药导报</w:t>
      </w:r>
      <w:r>
        <w:rPr>
          <w:rFonts w:ascii="宋体" w:hAnsi="宋体" w:eastAsia=""/>
        </w:rPr>
        <w:t xml:space="preserve">,2021,18(24):140-144.DOI:10.20047/j.issn1673-7210.2021.24.035. </w:t>
      </w:r>
    </w:p>
    <w:p>
      <w:pPr>
        <w:spacing w:line="288" w:lineRule="auto"/>
        <w:rPr>
          <w:rFonts w:ascii="宋体" w:hAnsi="宋体" w:eastAsia="宋体" w:cs="宋体"/>
          <w:sz w:val="24"/>
          <w:szCs w:val="24"/>
        </w:rPr>
      </w:pPr>
      <w:r>
        <w:rPr>
          <w:rFonts w:ascii="宋体" w:hAnsi="宋体" w:eastAsia=""/>
        </w:rPr>
        <w:t>[</w:t>
      </w:r>
      <w:r>
        <w:rPr>
          <w:rFonts w:ascii="宋体" w:hAnsi="宋体" w:eastAsia=""/>
        </w:rPr>
        <w:t>2</w:t>
      </w:r>
      <w:r>
        <w:rPr>
          <w:rFonts w:ascii="宋体" w:hAnsi="宋体" w:eastAsia=""/>
        </w:rPr>
        <w:t>]</w:t>
      </w:r>
      <w:r>
        <w:rPr>
          <w:rFonts w:ascii="宋体" w:hAnsi="宋体" w:eastAsia=""/>
        </w:rPr>
        <w:t xml:space="preserve"> </w:t>
      </w:r>
      <w:r>
        <w:rPr>
          <w:rFonts w:ascii="宋体" w:hAnsi="宋体" w:eastAsia=""/>
        </w:rPr>
        <w:t>郑晓萌</w:t>
      </w:r>
      <w:r>
        <w:rPr>
          <w:rFonts w:ascii="宋体" w:hAnsi="宋体" w:eastAsia=""/>
        </w:rPr>
        <w:t>.</w:t>
      </w:r>
      <w:r>
        <w:rPr>
          <w:rFonts w:ascii="宋体" w:hAnsi="宋体" w:eastAsia=""/>
        </w:rPr>
        <w:t>多学科团队模式在社区糖尿病患者疾病管理中的应用效果评价</w:t>
      </w:r>
      <w:r>
        <w:rPr>
          <w:rFonts w:ascii="宋体" w:hAnsi="宋体" w:eastAsia=""/>
        </w:rPr>
        <w:t>[D].</w:t>
      </w:r>
      <w:r>
        <w:rPr>
          <w:rFonts w:ascii="宋体" w:hAnsi="宋体" w:eastAsia=""/>
        </w:rPr>
        <w:t>石河子大学</w:t>
      </w:r>
      <w:r>
        <w:rPr>
          <w:rFonts w:ascii="宋体" w:hAnsi="宋体" w:eastAsia=""/>
        </w:rPr>
        <w:t>,2016.</w:t>
      </w:r>
    </w:p>
    <w:p>
      <w:pPr>
        <w:spacing w:line="288" w:lineRule="auto"/>
        <w:rPr>
          <w:rFonts w:ascii="宋体" w:hAnsi="宋体" w:eastAsia="宋体" w:cs="宋体"/>
          <w:sz w:val="24"/>
          <w:szCs w:val="24"/>
        </w:rPr>
      </w:pPr>
      <w:r>
        <w:rPr>
          <w:rFonts w:ascii="宋体" w:hAnsi="宋体" w:eastAsia=""/>
        </w:rPr>
        <w:t xml:space="preserve">[3] </w:t>
      </w:r>
      <w:r>
        <w:rPr>
          <w:rFonts w:ascii="宋体" w:hAnsi="宋体" w:eastAsia=""/>
        </w:rPr>
        <w:t>张颖</w:t>
      </w:r>
      <w:r>
        <w:rPr>
          <w:rFonts w:ascii="宋体" w:hAnsi="宋体" w:eastAsia=""/>
        </w:rPr>
        <w:t>,</w:t>
      </w:r>
      <w:r>
        <w:rPr>
          <w:rFonts w:ascii="宋体" w:hAnsi="宋体" w:eastAsia=""/>
        </w:rPr>
        <w:t>苑书岩</w:t>
      </w:r>
      <w:r>
        <w:rPr>
          <w:rFonts w:ascii="宋体" w:hAnsi="宋体" w:eastAsia=""/>
        </w:rPr>
        <w:t>,</w:t>
      </w:r>
      <w:r>
        <w:rPr>
          <w:rFonts w:ascii="宋体" w:hAnsi="宋体" w:eastAsia=""/>
        </w:rPr>
        <w:t>刘颖</w:t>
      </w:r>
      <w:r>
        <w:rPr>
          <w:rFonts w:ascii="宋体" w:hAnsi="宋体" w:eastAsia=""/>
        </w:rPr>
        <w:t>,</w:t>
      </w:r>
      <w:r>
        <w:rPr>
          <w:rFonts w:ascii="宋体" w:hAnsi="宋体" w:eastAsia=""/>
        </w:rPr>
        <w:t>等</w:t>
      </w:r>
      <w:r>
        <w:rPr>
          <w:rFonts w:ascii="宋体" w:hAnsi="宋体" w:eastAsia=""/>
        </w:rPr>
        <w:t>.</w:t>
      </w:r>
      <w:r>
        <w:rPr>
          <w:rFonts w:ascii="宋体" w:hAnsi="宋体" w:eastAsia=""/>
        </w:rPr>
        <w:t>长春市某医院</w:t>
      </w:r>
      <w:r>
        <w:rPr>
          <w:rFonts w:ascii="宋体" w:hAnsi="宋体" w:eastAsia=""/>
        </w:rPr>
        <w:t>2</w:t>
      </w:r>
      <w:r>
        <w:rPr>
          <w:rFonts w:ascii="宋体" w:hAnsi="宋体" w:eastAsia=""/>
        </w:rPr>
        <w:t>型糖尿病患者疾病认知水平调查及影响因素分析</w:t>
      </w:r>
      <w:r>
        <w:rPr>
          <w:rFonts w:ascii="宋体" w:hAnsi="宋体" w:eastAsia=""/>
        </w:rPr>
        <w:t>[J].</w:t>
      </w:r>
      <w:r>
        <w:rPr>
          <w:rFonts w:ascii="宋体" w:hAnsi="宋体" w:eastAsia=""/>
        </w:rPr>
        <w:t>中国社区医师</w:t>
      </w:r>
      <w:r>
        <w:rPr>
          <w:rFonts w:ascii="宋体" w:hAnsi="宋体" w:eastAsia=""/>
        </w:rPr>
        <w:t>,2025,41(07):150-152.</w:t>
      </w:r>
    </w:p>
    <w:p>
      <w:pPr>
        <w:spacing w:line="288" w:lineRule="auto"/>
        <w:rPr>
          <w:rFonts w:ascii="宋体" w:hAnsi="宋体" w:eastAsia="宋体" w:cs="宋体"/>
          <w:sz w:val="24"/>
          <w:szCs w:val="24"/>
        </w:rPr>
      </w:pPr>
      <w:r>
        <w:rPr>
          <w:rFonts w:ascii="宋体" w:hAnsi="宋体" w:eastAsia=""/>
        </w:rPr>
        <w:t xml:space="preserve">[4] </w:t>
      </w:r>
      <w:r>
        <w:rPr>
          <w:rFonts w:ascii="宋体" w:hAnsi="宋体" w:eastAsia=""/>
        </w:rPr>
        <w:t>李平</w:t>
      </w:r>
      <w:r>
        <w:rPr>
          <w:rFonts w:ascii="宋体" w:hAnsi="宋体" w:eastAsia=""/>
        </w:rPr>
        <w:t>,</w:t>
      </w:r>
      <w:r>
        <w:rPr>
          <w:rFonts w:ascii="宋体" w:hAnsi="宋体" w:eastAsia=""/>
        </w:rPr>
        <w:t>杨艳杰</w:t>
      </w:r>
      <w:r>
        <w:rPr>
          <w:rFonts w:ascii="宋体" w:hAnsi="宋体" w:eastAsia=""/>
        </w:rPr>
        <w:t>,</w:t>
      </w:r>
      <w:r>
        <w:rPr>
          <w:rFonts w:ascii="宋体" w:hAnsi="宋体" w:eastAsia=""/>
        </w:rPr>
        <w:t>项莹</w:t>
      </w:r>
      <w:r>
        <w:rPr>
          <w:rFonts w:ascii="宋体" w:hAnsi="宋体" w:eastAsia=""/>
        </w:rPr>
        <w:t>,</w:t>
      </w:r>
      <w:r>
        <w:rPr>
          <w:rFonts w:ascii="宋体" w:hAnsi="宋体" w:eastAsia=""/>
        </w:rPr>
        <w:t>等</w:t>
      </w:r>
      <w:r>
        <w:rPr>
          <w:rFonts w:ascii="宋体" w:hAnsi="宋体" w:eastAsia=""/>
        </w:rPr>
        <w:t>.</w:t>
      </w:r>
      <w:r>
        <w:rPr>
          <w:rFonts w:ascii="宋体" w:hAnsi="宋体" w:eastAsia=""/>
        </w:rPr>
        <w:t>自我效能在</w:t>
      </w:r>
      <w:r>
        <w:rPr>
          <w:rFonts w:ascii="宋体" w:hAnsi="宋体" w:eastAsia=""/>
        </w:rPr>
        <w:t>2</w:t>
      </w:r>
      <w:r>
        <w:rPr>
          <w:rFonts w:ascii="宋体" w:hAnsi="宋体" w:eastAsia=""/>
        </w:rPr>
        <w:t>型糖尿病患者疾病认知和自我管理行为间的中介效应分析</w:t>
      </w:r>
      <w:r>
        <w:rPr>
          <w:rFonts w:ascii="宋体" w:hAnsi="宋体" w:eastAsia=""/>
        </w:rPr>
        <w:t>[J].</w:t>
      </w:r>
      <w:r>
        <w:rPr>
          <w:rFonts w:ascii="宋体" w:hAnsi="宋体" w:eastAsia=""/>
        </w:rPr>
        <w:t>哈尔滨医科大学学报</w:t>
      </w:r>
      <w:r>
        <w:rPr>
          <w:rFonts w:ascii="宋体" w:hAnsi="宋体" w:eastAsia=""/>
        </w:rPr>
        <w:t>,2021,55(02):201-204.</w:t>
      </w:r>
    </w:p>
    <w:p>
      <w:pPr>
        <w:spacing w:line="288" w:lineRule="auto"/>
        <w:rPr>
          <w:rFonts w:ascii="宋体" w:hAnsi="宋体" w:eastAsia="宋体" w:cs="宋体"/>
          <w:sz w:val="24"/>
          <w:szCs w:val="24"/>
        </w:rPr>
      </w:pPr>
      <w:r>
        <w:rPr>
          <w:rFonts w:ascii="宋体" w:hAnsi="宋体" w:eastAsia=""/>
        </w:rPr>
        <w:t xml:space="preserve">[5] </w:t>
      </w:r>
      <w:r>
        <w:rPr>
          <w:rFonts w:ascii="宋体" w:hAnsi="宋体" w:eastAsia=""/>
        </w:rPr>
        <w:t>王俊薇</w:t>
      </w:r>
      <w:r>
        <w:rPr>
          <w:rFonts w:ascii="宋体" w:hAnsi="宋体" w:eastAsia=""/>
        </w:rPr>
        <w:t>,</w:t>
      </w:r>
      <w:r>
        <w:rPr>
          <w:rFonts w:ascii="宋体" w:hAnsi="宋体" w:eastAsia=""/>
        </w:rPr>
        <w:t>管丽华</w:t>
      </w:r>
      <w:r>
        <w:rPr>
          <w:rFonts w:ascii="宋体" w:hAnsi="宋体" w:eastAsia=""/>
        </w:rPr>
        <w:t>,</w:t>
      </w:r>
      <w:r>
        <w:rPr>
          <w:rFonts w:ascii="宋体" w:hAnsi="宋体" w:eastAsia=""/>
        </w:rPr>
        <w:t>邢媛</w:t>
      </w:r>
      <w:r>
        <w:rPr>
          <w:rFonts w:ascii="宋体" w:hAnsi="宋体" w:eastAsia=""/>
        </w:rPr>
        <w:t>,</w:t>
      </w:r>
      <w:r>
        <w:rPr>
          <w:rFonts w:ascii="宋体" w:hAnsi="宋体" w:eastAsia=""/>
        </w:rPr>
        <w:t>等</w:t>
      </w:r>
      <w:r>
        <w:rPr>
          <w:rFonts w:ascii="宋体" w:hAnsi="宋体" w:eastAsia=""/>
        </w:rPr>
        <w:t>.</w:t>
      </w:r>
      <w:r>
        <w:rPr>
          <w:rFonts w:ascii="宋体" w:hAnsi="宋体" w:eastAsia=""/>
        </w:rPr>
        <w:t>社区</w:t>
      </w:r>
      <w:r>
        <w:rPr>
          <w:rFonts w:ascii="宋体" w:hAnsi="宋体" w:eastAsia=""/>
        </w:rPr>
        <w:t>2</w:t>
      </w:r>
      <w:r>
        <w:rPr>
          <w:rFonts w:ascii="宋体" w:hAnsi="宋体" w:eastAsia=""/>
        </w:rPr>
        <w:t>型糖尿病及糖尿病前期管理现状调查研究</w:t>
      </w:r>
      <w:r>
        <w:rPr>
          <w:rFonts w:ascii="宋体" w:hAnsi="宋体" w:eastAsia=""/>
        </w:rPr>
        <w:t>[J].</w:t>
      </w:r>
      <w:r>
        <w:rPr>
          <w:rFonts w:ascii="宋体" w:hAnsi="宋体" w:eastAsia=""/>
        </w:rPr>
        <w:t>中国全科医学</w:t>
      </w:r>
      <w:r>
        <w:rPr>
          <w:rFonts w:ascii="宋体" w:hAnsi="宋体" w:eastAsia=""/>
        </w:rPr>
        <w:t>,2021,24(27):3439-3443+3450.</w:t>
      </w:r>
    </w:p>
    <w:p>
      <w:pPr>
        <w:spacing w:line="288" w:lineRule="auto"/>
        <w:rPr>
          <w:rFonts w:ascii="宋体" w:hAnsi="宋体" w:eastAsia="宋体" w:cs="宋体"/>
          <w:b/>
          <w:sz w:val="24"/>
          <w:szCs w:val="24"/>
        </w:rPr>
      </w:pPr>
      <w:r>
        <w:rPr>
          <w:rFonts w:ascii="宋体" w:hAnsi="宋体" w:eastAsia=""/>
        </w:rPr>
        <w:t xml:space="preserve">[6] </w:t>
      </w:r>
      <w:r>
        <w:rPr>
          <w:rFonts w:ascii="宋体" w:hAnsi="宋体" w:eastAsia=""/>
        </w:rPr>
        <w:t>廖艳</w:t>
      </w:r>
      <w:r>
        <w:rPr>
          <w:rFonts w:ascii="宋体" w:hAnsi="宋体" w:eastAsia=""/>
        </w:rPr>
        <w:t>.</w:t>
      </w:r>
      <w:r>
        <w:rPr>
          <w:rFonts w:ascii="宋体" w:hAnsi="宋体" w:eastAsia=""/>
        </w:rPr>
        <w:t>探究老年</w:t>
      </w:r>
      <w:r>
        <w:rPr>
          <w:rFonts w:ascii="宋体" w:hAnsi="宋体" w:eastAsia=""/>
        </w:rPr>
        <w:t>2</w:t>
      </w:r>
      <w:r>
        <w:rPr>
          <w:rFonts w:ascii="宋体" w:hAnsi="宋体" w:eastAsia=""/>
        </w:rPr>
        <w:t>型糖尿病的自我管理水平提升的研究进展</w:t>
      </w:r>
      <w:r>
        <w:rPr>
          <w:rFonts w:ascii="宋体" w:hAnsi="宋体" w:eastAsia=""/>
        </w:rPr>
        <w:t>[C]//</w:t>
      </w:r>
      <w:r>
        <w:rPr>
          <w:rFonts w:ascii="宋体" w:hAnsi="宋体" w:eastAsia=""/>
        </w:rPr>
        <w:t>重庆市健康促进与健康教育学会</w:t>
      </w:r>
      <w:r>
        <w:rPr>
          <w:rFonts w:ascii="宋体" w:hAnsi="宋体" w:eastAsia=""/>
        </w:rPr>
        <w:t>.</w:t>
      </w:r>
      <w:r>
        <w:rPr>
          <w:rFonts w:ascii="宋体" w:hAnsi="宋体" w:eastAsia=""/>
        </w:rPr>
        <w:t>临床医学健康与传播学术研讨会论文集（第四册）</w:t>
      </w:r>
      <w:r>
        <w:rPr>
          <w:rFonts w:ascii="宋体" w:hAnsi="宋体" w:eastAsia=""/>
        </w:rPr>
        <w:t>.</w:t>
      </w:r>
      <w:r>
        <w:rPr>
          <w:rFonts w:ascii="宋体" w:hAnsi="宋体" w:eastAsia=""/>
        </w:rPr>
        <w:t>广西壮族自治区南溪山医院</w:t>
      </w:r>
      <w:r>
        <w:rPr>
          <w:rFonts w:ascii="宋体" w:hAnsi="宋体" w:eastAsia=""/>
        </w:rPr>
        <w:t>;,2025:285-288.</w:t>
      </w:r>
    </w:p>
    <w:p>
      <w:pPr>
        <w:spacing w:line="288" w:lineRule="auto"/>
        <w:rPr>
          <w:rFonts w:ascii="宋体" w:hAnsi="宋体" w:eastAsia="宋体" w:cs="宋体"/>
          <w:sz w:val="24"/>
          <w:szCs w:val="24"/>
        </w:rPr>
      </w:pPr>
      <w:r>
        <w:rPr>
          <w:rFonts w:ascii="宋体" w:hAnsi="宋体" w:eastAsia=""/>
        </w:rPr>
        <w:t>[7]</w:t>
      </w:r>
      <w:r>
        <w:rPr>
          <w:rFonts w:ascii="宋体" w:hAnsi="宋体" w:eastAsia=""/>
        </w:rPr>
        <w:t xml:space="preserve"> </w:t>
      </w:r>
      <w:r>
        <w:rPr>
          <w:rFonts w:ascii="宋体" w:hAnsi="宋体" w:eastAsia=""/>
        </w:rPr>
        <w:t>Taimur H ,Ahmad I ,Khan H , et al.A scoping review of type 2 diabetes mellitus in Pakistan investigating the status of glycemic control, awareness, treatment adherence, complications and cost[J].Frontiers in Endocrinology,2024,151441591-1441591.</w:t>
      </w:r>
    </w:p>
    <w:p>
      <w:pPr>
        <w:spacing w:line="288" w:lineRule="auto"/>
        <w:rPr>
          <w:rFonts w:ascii="宋体" w:hAnsi="宋体" w:eastAsia="宋体" w:cs="宋体"/>
          <w:bCs/>
          <w:sz w:val="24"/>
          <w:szCs w:val="24"/>
        </w:rPr>
      </w:pPr>
      <w:r>
        <w:rPr>
          <w:rFonts w:ascii="宋体" w:hAnsi="宋体" w:eastAsia=""/>
        </w:rPr>
        <w:t xml:space="preserve">[8] </w:t>
      </w:r>
      <w:r>
        <w:rPr>
          <w:rFonts w:ascii="宋体" w:hAnsi="宋体" w:eastAsia=""/>
        </w:rPr>
        <w:t>黄金</w:t>
      </w:r>
      <w:r>
        <w:rPr>
          <w:rFonts w:ascii="宋体" w:hAnsi="宋体" w:eastAsia=""/>
        </w:rPr>
        <w:t>,</w:t>
      </w:r>
      <w:r>
        <w:rPr>
          <w:rFonts w:ascii="宋体" w:hAnsi="宋体" w:eastAsia=""/>
        </w:rPr>
        <w:t>刘跃华</w:t>
      </w:r>
      <w:r>
        <w:rPr>
          <w:rFonts w:ascii="宋体" w:hAnsi="宋体" w:eastAsia=""/>
        </w:rPr>
        <w:t>,</w:t>
      </w:r>
      <w:r>
        <w:rPr>
          <w:rFonts w:ascii="宋体" w:hAnsi="宋体" w:eastAsia=""/>
        </w:rPr>
        <w:t>张艳</w:t>
      </w:r>
      <w:r>
        <w:rPr>
          <w:rFonts w:ascii="宋体" w:hAnsi="宋体" w:eastAsia=""/>
        </w:rPr>
        <w:t>,</w:t>
      </w:r>
      <w:r>
        <w:rPr>
          <w:rFonts w:ascii="宋体" w:hAnsi="宋体" w:eastAsia=""/>
        </w:rPr>
        <w:t>等</w:t>
      </w:r>
      <w:r>
        <w:rPr>
          <w:rFonts w:ascii="宋体" w:hAnsi="宋体" w:eastAsia=""/>
        </w:rPr>
        <w:t>.2</w:t>
      </w:r>
      <w:r>
        <w:rPr>
          <w:rFonts w:ascii="宋体" w:hAnsi="宋体" w:eastAsia=""/>
        </w:rPr>
        <w:t>型糖尿病患者自我管理现状与糖尿病知识、态度的相关性</w:t>
      </w:r>
      <w:r>
        <w:rPr>
          <w:rFonts w:ascii="宋体" w:hAnsi="宋体" w:eastAsia=""/>
        </w:rPr>
        <w:t>[J].</w:t>
      </w:r>
      <w:r>
        <w:rPr>
          <w:rFonts w:ascii="宋体" w:hAnsi="宋体" w:eastAsia=""/>
        </w:rPr>
        <w:t>中南大学学报</w:t>
      </w:r>
      <w:r>
        <w:rPr>
          <w:rFonts w:ascii="宋体" w:hAnsi="宋体" w:eastAsia=""/>
        </w:rPr>
        <w:t>(</w:t>
      </w:r>
      <w:r>
        <w:rPr>
          <w:rFonts w:ascii="宋体" w:hAnsi="宋体" w:eastAsia=""/>
        </w:rPr>
        <w:t>医学版</w:t>
      </w:r>
      <w:r>
        <w:rPr>
          <w:rFonts w:ascii="宋体" w:hAnsi="宋体" w:eastAsia=""/>
        </w:rPr>
        <w:t>),2013,38(02):176-181.</w:t>
      </w:r>
    </w:p>
    <w:p>
      <w:pPr>
        <w:spacing w:line="288" w:lineRule="auto"/>
        <w:rPr>
          <w:rFonts w:ascii="宋体" w:hAnsi="宋体" w:eastAsia="宋体" w:cs="宋体"/>
          <w:b/>
          <w:bCs/>
          <w:sz w:val="24"/>
          <w:szCs w:val="24"/>
        </w:rPr>
      </w:pPr>
      <w:r>
        <w:rPr>
          <w:rFonts w:ascii="宋体" w:hAnsi="宋体" w:eastAsia=""/>
        </w:rPr>
        <w:t xml:space="preserve">[9] </w:t>
      </w:r>
      <w:r>
        <w:rPr>
          <w:rFonts w:ascii="宋体" w:hAnsi="宋体" w:eastAsia=""/>
        </w:rPr>
        <w:t>张丛笑</w:t>
      </w:r>
      <w:r>
        <w:rPr>
          <w:rFonts w:ascii="宋体" w:hAnsi="宋体" w:eastAsia=""/>
        </w:rPr>
        <w:t>,</w:t>
      </w:r>
      <w:r>
        <w:rPr>
          <w:rFonts w:ascii="宋体" w:hAnsi="宋体" w:eastAsia=""/>
        </w:rPr>
        <w:t>章华米</w:t>
      </w:r>
      <w:r>
        <w:rPr>
          <w:rFonts w:ascii="宋体" w:hAnsi="宋体" w:eastAsia=""/>
        </w:rPr>
        <w:t>,</w:t>
      </w:r>
      <w:r>
        <w:rPr>
          <w:rFonts w:ascii="宋体" w:hAnsi="宋体" w:eastAsia=""/>
        </w:rPr>
        <w:t>胡小炜</w:t>
      </w:r>
      <w:r>
        <w:rPr>
          <w:rFonts w:ascii="宋体" w:hAnsi="宋体" w:eastAsia=""/>
        </w:rPr>
        <w:t>,</w:t>
      </w:r>
      <w:r>
        <w:rPr>
          <w:rFonts w:ascii="宋体" w:hAnsi="宋体" w:eastAsia=""/>
        </w:rPr>
        <w:t>等</w:t>
      </w:r>
      <w:r>
        <w:rPr>
          <w:rFonts w:ascii="宋体" w:hAnsi="宋体" w:eastAsia=""/>
        </w:rPr>
        <w:t>.</w:t>
      </w:r>
      <w:r>
        <w:rPr>
          <w:rFonts w:ascii="宋体" w:hAnsi="宋体" w:eastAsia=""/>
        </w:rPr>
        <w:t>社区</w:t>
      </w:r>
      <w:r>
        <w:rPr>
          <w:rFonts w:ascii="宋体" w:hAnsi="宋体" w:eastAsia=""/>
        </w:rPr>
        <w:t>2</w:t>
      </w:r>
      <w:r>
        <w:rPr>
          <w:rFonts w:ascii="宋体" w:hAnsi="宋体" w:eastAsia=""/>
        </w:rPr>
        <w:t>型糖尿病患者知识水平及其影响因素的</w:t>
      </w:r>
      <w:r>
        <w:rPr>
          <w:rFonts w:ascii="宋体" w:hAnsi="宋体" w:eastAsia=""/>
        </w:rPr>
        <w:t>logistic</w:t>
      </w:r>
      <w:r>
        <w:rPr>
          <w:rFonts w:ascii="宋体" w:hAnsi="宋体" w:eastAsia=""/>
        </w:rPr>
        <w:t>回归分析</w:t>
      </w:r>
      <w:r>
        <w:rPr>
          <w:rFonts w:ascii="宋体" w:hAnsi="宋体" w:eastAsia=""/>
        </w:rPr>
        <w:t>[J].</w:t>
      </w:r>
      <w:r>
        <w:rPr>
          <w:rFonts w:ascii="宋体" w:hAnsi="宋体" w:eastAsia=""/>
        </w:rPr>
        <w:t>中国慢性病预防与控制</w:t>
      </w:r>
      <w:r>
        <w:rPr>
          <w:rFonts w:ascii="宋体" w:hAnsi="宋体" w:eastAsia=""/>
        </w:rPr>
        <w:t>,2016,24(01):35-37.DOI:10.16386/j.cjpccd.issn.1004-6194.2016.01.010.</w:t>
      </w:r>
    </w:p>
    <w:p>
      <w:pPr>
        <w:spacing w:line="288" w:lineRule="auto"/>
        <w:rPr>
          <w:rFonts w:ascii="宋体" w:hAnsi="宋体" w:eastAsia="宋体" w:cs="宋体"/>
          <w:bCs/>
          <w:sz w:val="24"/>
          <w:szCs w:val="24"/>
        </w:rPr>
      </w:pPr>
      <w:r>
        <w:rPr>
          <w:rFonts w:ascii="宋体" w:hAnsi="宋体" w:eastAsia=""/>
        </w:rPr>
        <w:t xml:space="preserve">[10] </w:t>
      </w:r>
      <w:r>
        <w:rPr>
          <w:rFonts w:ascii="宋体" w:hAnsi="宋体" w:eastAsia=""/>
        </w:rPr>
        <w:t>金学勤</w:t>
      </w:r>
      <w:r>
        <w:rPr>
          <w:rFonts w:ascii="宋体" w:hAnsi="宋体" w:eastAsia=""/>
        </w:rPr>
        <w:t>,</w:t>
      </w:r>
      <w:r>
        <w:rPr>
          <w:rFonts w:ascii="宋体" w:hAnsi="宋体" w:eastAsia=""/>
        </w:rPr>
        <w:t>徐桂华</w:t>
      </w:r>
      <w:r>
        <w:rPr>
          <w:rFonts w:ascii="宋体" w:hAnsi="宋体" w:eastAsia=""/>
        </w:rPr>
        <w:t>.</w:t>
      </w:r>
      <w:r>
        <w:rPr>
          <w:rFonts w:ascii="宋体" w:hAnsi="宋体" w:eastAsia=""/>
        </w:rPr>
        <w:t>社区糖尿病患者自我管理干预模式的研究进展</w:t>
      </w:r>
      <w:r>
        <w:rPr>
          <w:rFonts w:ascii="宋体" w:hAnsi="宋体" w:eastAsia=""/>
        </w:rPr>
        <w:t>[J].</w:t>
      </w:r>
      <w:r>
        <w:rPr>
          <w:rFonts w:ascii="宋体" w:hAnsi="宋体" w:eastAsia=""/>
        </w:rPr>
        <w:t>实用临床医药杂志</w:t>
      </w:r>
      <w:r>
        <w:rPr>
          <w:rFonts w:ascii="宋体" w:hAnsi="宋体" w:eastAsia=""/>
        </w:rPr>
        <w:t>,2015,19(18):196-199.</w:t>
      </w:r>
    </w:p>
    <w:p>
      <w:pPr>
        <w:spacing w:line="288" w:lineRule="auto"/>
        <w:rPr>
          <w:rFonts w:ascii="宋体" w:hAnsi="宋体" w:eastAsia="宋体" w:cs="宋体"/>
          <w:bCs/>
          <w:sz w:val="24"/>
          <w:szCs w:val="24"/>
        </w:rPr>
      </w:pPr>
      <w:r>
        <w:rPr>
          <w:rFonts w:ascii="宋体" w:hAnsi="宋体" w:eastAsia=""/>
        </w:rPr>
        <w:t xml:space="preserve">[11] </w:t>
      </w:r>
      <w:r>
        <w:rPr>
          <w:rFonts w:ascii="宋体" w:hAnsi="宋体" w:eastAsia=""/>
        </w:rPr>
        <w:t>李青</w:t>
      </w:r>
      <w:r>
        <w:rPr>
          <w:rFonts w:ascii="宋体" w:hAnsi="宋体" w:eastAsia=""/>
        </w:rPr>
        <w:t>,</w:t>
      </w:r>
      <w:r>
        <w:rPr>
          <w:rFonts w:ascii="宋体" w:hAnsi="宋体" w:eastAsia=""/>
        </w:rPr>
        <w:t>何朝珠</w:t>
      </w:r>
      <w:r>
        <w:rPr>
          <w:rFonts w:ascii="宋体" w:hAnsi="宋体" w:eastAsia=""/>
        </w:rPr>
        <w:t>,</w:t>
      </w:r>
      <w:r>
        <w:rPr>
          <w:rFonts w:ascii="宋体" w:hAnsi="宋体" w:eastAsia=""/>
        </w:rPr>
        <w:t>何雪莹</w:t>
      </w:r>
      <w:r>
        <w:rPr>
          <w:rFonts w:ascii="宋体" w:hAnsi="宋体" w:eastAsia=""/>
        </w:rPr>
        <w:t>,</w:t>
      </w:r>
      <w:r>
        <w:rPr>
          <w:rFonts w:ascii="宋体" w:hAnsi="宋体" w:eastAsia=""/>
        </w:rPr>
        <w:t>等</w:t>
      </w:r>
      <w:r>
        <w:rPr>
          <w:rFonts w:ascii="宋体" w:hAnsi="宋体" w:eastAsia=""/>
        </w:rPr>
        <w:t>.</w:t>
      </w:r>
      <w:r>
        <w:rPr>
          <w:rFonts w:ascii="宋体" w:hAnsi="宋体" w:eastAsia=""/>
        </w:rPr>
        <w:t>南昌市糖尿病患者社区护理需求调查及其影响因素分析</w:t>
      </w:r>
      <w:r>
        <w:rPr>
          <w:rFonts w:ascii="宋体" w:hAnsi="宋体" w:eastAsia=""/>
        </w:rPr>
        <w:t>[J].</w:t>
      </w:r>
      <w:r>
        <w:rPr>
          <w:rFonts w:ascii="宋体" w:hAnsi="宋体" w:eastAsia=""/>
        </w:rPr>
        <w:t>中华护理杂志</w:t>
      </w:r>
      <w:r>
        <w:rPr>
          <w:rFonts w:ascii="宋体" w:hAnsi="宋体" w:eastAsia=""/>
        </w:rPr>
        <w:t>,2012,47(06):494-497.</w:t>
      </w:r>
    </w:p>
    <w:p>
      <w:pPr>
        <w:spacing w:line="288" w:lineRule="auto"/>
        <w:rPr>
          <w:rFonts w:ascii="宋体" w:hAnsi="宋体" w:eastAsia="宋体" w:cs="宋体"/>
          <w:b/>
          <w:bCs/>
          <w:sz w:val="24"/>
          <w:szCs w:val="24"/>
        </w:rPr>
      </w:pPr>
      <w:r>
        <w:rPr>
          <w:rFonts w:ascii="宋体" w:hAnsi="宋体" w:eastAsia=""/>
        </w:rPr>
        <w:t xml:space="preserve">[12] </w:t>
      </w:r>
      <w:r>
        <w:rPr>
          <w:rFonts w:ascii="宋体" w:hAnsi="宋体" w:eastAsia=""/>
        </w:rPr>
        <w:t>呼庆红</w:t>
      </w:r>
      <w:r>
        <w:rPr>
          <w:rFonts w:ascii="宋体" w:hAnsi="宋体" w:eastAsia=""/>
        </w:rPr>
        <w:t>,</w:t>
      </w:r>
      <w:r>
        <w:rPr>
          <w:rFonts w:ascii="宋体" w:hAnsi="宋体" w:eastAsia=""/>
        </w:rPr>
        <w:t>梁真</w:t>
      </w:r>
      <w:r>
        <w:rPr>
          <w:rFonts w:ascii="宋体" w:hAnsi="宋体" w:eastAsia=""/>
        </w:rPr>
        <w:t>,</w:t>
      </w:r>
      <w:r>
        <w:rPr>
          <w:rFonts w:ascii="宋体" w:hAnsi="宋体" w:eastAsia=""/>
        </w:rPr>
        <w:t>欧慧婷</w:t>
      </w:r>
      <w:r>
        <w:rPr>
          <w:rFonts w:ascii="宋体" w:hAnsi="宋体" w:eastAsia=""/>
        </w:rPr>
        <w:t>,</w:t>
      </w:r>
      <w:r>
        <w:rPr>
          <w:rFonts w:ascii="宋体" w:hAnsi="宋体" w:eastAsia=""/>
        </w:rPr>
        <w:t>等</w:t>
      </w:r>
      <w:r>
        <w:rPr>
          <w:rFonts w:ascii="宋体" w:hAnsi="宋体" w:eastAsia=""/>
        </w:rPr>
        <w:t>.</w:t>
      </w:r>
      <w:r>
        <w:rPr>
          <w:rFonts w:ascii="宋体" w:hAnsi="宋体" w:eastAsia=""/>
        </w:rPr>
        <w:t>糖尿病患者糖尿病知识知晓现状调查及影响因素分析</w:t>
      </w:r>
      <w:r>
        <w:rPr>
          <w:rFonts w:ascii="宋体" w:hAnsi="宋体" w:eastAsia=""/>
        </w:rPr>
        <w:t>[J].</w:t>
      </w:r>
      <w:r>
        <w:rPr>
          <w:rFonts w:ascii="宋体" w:hAnsi="宋体" w:eastAsia=""/>
        </w:rPr>
        <w:t>护理学报</w:t>
      </w:r>
      <w:r>
        <w:rPr>
          <w:rFonts w:ascii="宋体" w:hAnsi="宋体" w:eastAsia=""/>
        </w:rPr>
        <w:t>,2007,(05):3-6.DOI:10.16460/j.issn1008-9969.2007.05.002.</w:t>
      </w:r>
    </w:p>
    <w:p>
      <w:pPr>
        <w:spacing w:line="288" w:lineRule="auto"/>
        <w:rPr>
          <w:rFonts w:ascii="宋体" w:hAnsi="宋体" w:eastAsia="宋体" w:cs="宋体"/>
          <w:bCs/>
          <w:sz w:val="24"/>
          <w:szCs w:val="24"/>
        </w:rPr>
      </w:pPr>
      <w:r>
        <w:rPr>
          <w:rFonts w:ascii="宋体" w:hAnsi="宋体" w:eastAsia=""/>
        </w:rPr>
        <w:t>[13]</w:t>
      </w:r>
      <w:r>
        <w:rPr>
          <w:rFonts w:ascii="宋体" w:hAnsi="宋体" w:eastAsia=""/>
        </w:rPr>
        <w:t xml:space="preserve"> </w:t>
      </w:r>
      <w:r>
        <w:rPr>
          <w:rFonts w:ascii="宋体" w:hAnsi="宋体" w:eastAsia=""/>
        </w:rPr>
        <w:t>蒋燕燕</w:t>
      </w:r>
      <w:r>
        <w:rPr>
          <w:rFonts w:ascii="宋体" w:hAnsi="宋体" w:eastAsia=""/>
        </w:rPr>
        <w:t>.2</w:t>
      </w:r>
      <w:r>
        <w:rPr>
          <w:rFonts w:ascii="宋体" w:hAnsi="宋体" w:eastAsia=""/>
        </w:rPr>
        <w:t>型糖尿病患者知识影响因素分析及健康教育策略</w:t>
      </w:r>
      <w:r>
        <w:rPr>
          <w:rFonts w:ascii="宋体" w:hAnsi="宋体" w:eastAsia=""/>
        </w:rPr>
        <w:t>[D].</w:t>
      </w:r>
      <w:r>
        <w:rPr>
          <w:rFonts w:ascii="宋体" w:hAnsi="宋体" w:eastAsia=""/>
        </w:rPr>
        <w:t>蚌埠医学院</w:t>
      </w:r>
      <w:r>
        <w:rPr>
          <w:rFonts w:ascii="宋体" w:hAnsi="宋体" w:eastAsia=""/>
        </w:rPr>
        <w:t>,2014.</w:t>
      </w:r>
    </w:p>
    <w:p>
      <w:pPr>
        <w:spacing w:line="288" w:lineRule="auto"/>
        <w:rPr>
          <w:rFonts w:ascii="宋体" w:hAnsi="宋体" w:eastAsia="宋体" w:cs="宋体"/>
          <w:sz w:val="24"/>
          <w:szCs w:val="24"/>
        </w:rPr>
      </w:pPr>
      <w:r>
        <w:rPr>
          <w:rFonts w:ascii="宋体" w:hAnsi="宋体" w:eastAsia=""/>
        </w:rPr>
        <w:t>[14]  Liao X ,Zhang Y ,Xu J , et al.A Narrative Review on Cognitive Impairment in Type 2 Diabetes: Global Trends and Diagnostic Approaches[J].Biomedicines,2025,13(2):473-473.</w:t>
      </w:r>
    </w:p>
    <w:p>
      <w:pPr>
        <w:spacing w:line="288" w:lineRule="auto"/>
        <w:rPr>
          <w:rFonts w:ascii="宋体" w:hAnsi="宋体" w:eastAsia="宋体" w:cs="宋体"/>
          <w:bCs/>
          <w:sz w:val="24"/>
          <w:szCs w:val="24"/>
        </w:rPr>
      </w:pPr>
      <w:r>
        <w:rPr>
          <w:rFonts w:ascii="宋体" w:hAnsi="宋体" w:eastAsia=""/>
        </w:rPr>
        <w:t>[15]  Kan W ,Qu M ,Wang Y , et al.A review of type 2 diabetes mellitus and cognitive impairment[J].Frontiers in Endocrinology,2025,161624472-1624472.</w:t>
      </w:r>
    </w:p>
    <w:p>
      <w:pPr>
        <w:spacing w:line="288" w:lineRule="auto"/>
        <w:rPr>
          <w:rFonts w:ascii="宋体" w:hAnsi="宋体" w:eastAsia="宋体" w:cs="宋体"/>
          <w:sz w:val="24"/>
          <w:szCs w:val="24"/>
        </w:rPr>
      </w:pPr>
      <w:r>
        <w:rPr>
          <w:rFonts w:ascii="宋体" w:hAnsi="宋体" w:eastAsia=""/>
        </w:rPr>
        <w:t>[16]  Mueller C ,Neusser T ,Waschke T I , et al.Disease Awareness in Patients With Type 2 Diabetes: Analysis of Baseline Data From the SMART-Finder Observational Study.[J].JMIR formative research,2025,9e60246.</w:t>
      </w:r>
    </w:p>
    <w:p>
      <w:pPr>
        <w:spacing w:beforeLines="100" w:afterLines="100" w:line="360" w:lineRule="auto"/>
        <w:numPr>
          <w:ilvl w:val="0"/>
          <w:numId w:val="0"/>
        </w:numPr>
        <w:outlineLvl w:val="0"/>
        <w:rPr>
          <w:rFonts w:ascii="宋体" w:hAnsi="宋体" w:eastAsia="宋体" w:cs="宋体"/>
          <w:b/>
          <w:bCs/>
          <w:sz w:val="32"/>
          <w:szCs w:val="32"/>
        </w:rPr>
      </w:pPr>
      <w:r>
        <w:rPr>
          <w:rFonts w:ascii="Times New Roman" w:hAnsi="Times New Roman" w:eastAsia="宋体"/>
          <w:sz w:val="32"/>
          <w:szCs w:val="32"/>
          <w:b/>
          <w:bCs/>
        </w:rPr>
        <w:br w:type="page"/>
      </w:r>
      <w:bookmarkStart w:name="__RefHeading___Toc224858203" w:id="34"/>
      <w:bookmarkEnd w:id="34"/>
      <w:r>
        <w:rPr>
          <w:rFonts w:ascii="Times New Roman" w:hAnsi="Times New Roman" w:eastAsia="宋体"/>
          <w:sz w:val="32"/>
          <w:szCs w:val="32"/>
          <w:b/>
          <w:bCs/>
        </w:rPr>
        <w:t>致      谢</w:t>
      </w:r>
    </w:p>
    <w:p>
      <w:pPr>
        <w:spacing w:line="360" w:lineRule="auto"/>
        <w:ind w:firstLineChars="200"/>
        <w:jc w:val="both"/>
        <w:rPr>
          <w:rFonts w:ascii="宋体" w:hAnsi="宋体" w:eastAsia="宋体" w:cs="宋体"/>
          <w:sz w:val="24"/>
          <w:szCs w:val="24"/>
        </w:rPr>
      </w:pPr>
      <w:r>
        <w:rPr>
          <w:rFonts w:ascii="Times New Roman" w:hAnsi="Times New Roman" w:eastAsia="宋体"/>
          <w:sz w:val="24"/>
          <w:szCs w:val="24"/>
        </w:rPr>
        <w:t>这篇论文的完成，也标志着我四年的大学生活即将结束。本科这四年的时光转瞬即逝，通过这四年的学习，我相信自己能更好的适应社会。即将离别母校，我更觉感激和不舍。</w:t>
      </w:r>
    </w:p>
    <w:p>
      <w:pPr>
        <w:spacing w:line="360" w:lineRule="auto"/>
        <w:ind w:firstLineChars="200"/>
        <w:jc w:val="both"/>
        <w:rPr>
          <w:rFonts w:ascii="宋体" w:hAnsi="宋体" w:eastAsia="宋体" w:cs="宋体"/>
          <w:sz w:val="24"/>
          <w:szCs w:val="24"/>
        </w:rPr>
      </w:pPr>
      <w:r>
        <w:rPr>
          <w:rFonts w:ascii="Times New Roman" w:hAnsi="Times New Roman" w:eastAsia="宋体"/>
          <w:sz w:val="24"/>
          <w:szCs w:val="24"/>
        </w:rPr>
        <w:t>本次论文的完成，离不开老师和同学的帮助。首先我由衷的感谢我的论文指导老师杨老师，在论文的选题、研究设计、撰写以及修改过程中，老师始终给予悉心指导与严谨把关，提出许多宝贵的意见，使得我受益匪浅。同时也要感谢学习生涯中每一位教授过我知识，帮助过我的老师，是你们的精彩讲授</w:t>
      </w:r>
      <w:r>
        <w:rPr>
          <w:rFonts w:ascii="Times New Roman" w:hAnsi="Times New Roman" w:eastAsia="宋体"/>
          <w:sz w:val="24"/>
          <w:szCs w:val="24"/>
        </w:rPr>
        <w:t>1</w:t>
      </w:r>
      <w:r>
        <w:rPr>
          <w:rFonts w:ascii="Times New Roman" w:hAnsi="Times New Roman" w:eastAsia="宋体"/>
          <w:sz w:val="24"/>
          <w:szCs w:val="24"/>
        </w:rPr>
        <w:t>拓宽了我的知识视野，为我的研究奠定了坚实基础，桃李不言，下子成蹊。</w:t>
      </w:r>
    </w:p>
    <w:p>
      <w:pPr>
        <w:spacing w:line="360" w:lineRule="auto"/>
        <w:ind w:firstLineChars="200"/>
        <w:jc w:val="both"/>
        <w:rPr>
          <w:rFonts w:ascii="宋体" w:hAnsi="宋体" w:eastAsia="宋体" w:cs="宋体"/>
          <w:sz w:val="24"/>
          <w:szCs w:val="24"/>
        </w:rPr>
      </w:pPr>
      <w:r>
        <w:rPr>
          <w:rFonts w:ascii="Times New Roman" w:hAnsi="Times New Roman" w:eastAsia="宋体"/>
          <w:sz w:val="24"/>
          <w:szCs w:val="24"/>
        </w:rPr>
        <w:t>最后要感谢我的家人和朋友们，感谢你们在成长过程中给予我的激励、感动和帮助，是你们的理解和包容成就了今天的我。</w:t>
      </w:r>
    </w:p>
    <w:p>
      <w:pPr>
        <w:spacing w:line="360" w:lineRule="auto"/>
        <w:ind w:firstLineChars="200"/>
        <w:jc w:val="both"/>
        <w:rPr>
          <w:rFonts w:ascii="宋体" w:hAnsi="宋体" w:eastAsia="宋体" w:cs="宋体"/>
          <w:sz w:val="24"/>
          <w:szCs w:val="24"/>
        </w:rPr>
      </w:pPr>
      <w:r>
        <w:rPr>
          <w:rFonts w:ascii="Times New Roman" w:hAnsi="Times New Roman" w:eastAsia="宋体"/>
          <w:sz w:val="24"/>
          <w:szCs w:val="24"/>
        </w:rPr>
        <w:t>行文至此，感激将尽。感恩所有的相遇。时光短暂不经缠，未来有期待长谈。落笔为终，论文停留致谢，人生有待书写。</w:t>
      </w:r>
    </w:p>
    <w:p>
      <w:pPr>
        <w:pStyle w:val="Normal"/>
        <w:spacing w:line="360" w:lineRule="auto"/>
        <w:ind w:end="0" w:firstLine="420"/>
        <w:rPr>
          <w:rFonts w:ascii="宋体;SimSun" w:hAnsi="宋体;SimSun" w:cs="宋体;SimSun"/>
          <w:szCs w:val="21"/>
        </w:rPr>
      </w:pPr>
      <w:r>
        <w:rPr>
          <w:rFonts w:ascii="宋体;SimSun" w:hAnsi="宋体;SimSun" w:cs="宋体;SimSun"/>
          <w:szCs w:val="21"/>
        </w:rPr>
      </w:r>
    </w:p>
    <w:p>
      <w:pPr>
        <w:pStyle w:val="Normal"/>
        <w:spacing w:line="360" w:lineRule="auto"/>
        <w:ind w:end="0" w:firstLine="420"/>
        <w:rPr>
          <w:rFonts w:ascii="宋体;SimSun" w:hAnsi="宋体;SimSun" w:cs="宋体;SimSun"/>
          <w:szCs w:val="21"/>
        </w:rPr>
      </w:pPr>
      <w:r>
        <w:rPr>
          <w:rFonts w:ascii="宋体;SimSun" w:hAnsi="宋体;SimSun" w:cs="宋体;SimSun"/>
          <w:szCs w:val="21"/>
        </w:rPr>
      </w:r>
    </w:p>
    <w:p>
      <w:pPr>
        <w:pStyle w:val="Normal"/>
        <w:spacing w:line="360" w:lineRule="auto"/>
        <w:ind w:end="0" w:firstLine="420"/>
        <w:rPr>
          <w:rFonts w:ascii="宋体;SimSun" w:hAnsi="宋体;SimSun" w:cs="宋体;SimSun"/>
          <w:szCs w:val="21"/>
        </w:rPr>
      </w:pPr>
      <w:r>
        <w:rPr>
          <w:rFonts w:ascii="宋体;SimSun" w:hAnsi="宋体;SimSun" w:cs="宋体;SimSun"/>
          <w:szCs w:val="21"/>
        </w:rPr>
      </w:r>
    </w:p>
    <w:sectPr>
      <w:headerReference w:type="default" r:id="rIdCQRWSTHeader1"/>
      <w:footerReference w:type="default" r:id="rIdCQRWSTFooter1"/>
      <w:pgSz w:w="11906" w:h="16838"/>
      <w:pgMar w:top="1418" w:right="1134" w:bottom="1134" w:left="1418" w:header="851" w:footer="992" w:gutter="0"/>
      <w:pgNumType w:start="1" w:fmt="decimal"/>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背单词的monster" w:date="2026-03-18T21:44:00Z" w:initials="">
    <w:p>
      <w:pPr>
        <w:overflowPunct w:val="false"/>
        <w:bidi w:val="0"/>
        <w:jc w:val="start"/>
        <w:rPr/>
      </w:pPr>
      <w:r>
        <w:rPr>
          <w:rFonts w:ascii="Times New Roman" w:hAnsi="Times New Roman" w:eastAsia="宋体;SimSun" w:cs="Times New Roman"/>
          <w:color w:val="auto"/>
          <w:kern w:val="2"/>
          <w:sz w:val="21"/>
          <w:szCs w:val="24"/>
          <w:lang w:val="en-US" w:eastAsia="zh-CN" w:bidi="ar-SA"/>
        </w:rPr>
        <w:t>补充研究的社区在哪的信息</w:t>
      </w:r>
    </w:p>
  </w:comment>
  <w:comment w:id="1" w:author="背单词的monster" w:date="2026-03-18T21:43:00Z" w:initials="">
    <w:p>
      <w:pPr>
        <w:overflowPunct w:val="false"/>
        <w:bidi w:val="0"/>
        <w:jc w:val="start"/>
        <w:rPr/>
      </w:pPr>
      <w:r>
        <w:rPr>
          <w:rFonts w:ascii="Times New Roman" w:hAnsi="Times New Roman" w:eastAsia="宋体;SimSun" w:cs="Times New Roman"/>
          <w:color w:val="auto"/>
          <w:kern w:val="2"/>
          <w:sz w:val="21"/>
          <w:szCs w:val="24"/>
          <w:lang w:val="en-US" w:eastAsia="zh-CN" w:bidi="ar-SA"/>
        </w:rPr>
        <w:t>随机抽样要介绍采用的什么工具来做到随机的</w:t>
      </w:r>
    </w:p>
  </w:comment>
  <w:comment w:id="2" w:author="背单词的monster" w:date="2026-03-18T21:47:00Z" w:initials="">
    <w:p>
      <w:pPr>
        <w:overflowPunct w:val="false"/>
        <w:bidi w:val="0"/>
        <w:jc w:val="start"/>
        <w:rPr/>
      </w:pPr>
      <w:r>
        <w:rPr>
          <w:rFonts w:ascii="Times New Roman" w:hAnsi="Times New Roman" w:eastAsia="宋体;SimSun" w:cs="Times New Roman"/>
          <w:color w:val="auto"/>
          <w:kern w:val="2"/>
          <w:sz w:val="21"/>
          <w:szCs w:val="24"/>
          <w:lang w:val="en-US" w:eastAsia="zh-CN" w:bidi="ar-SA"/>
        </w:rPr>
        <w:t>补充统计学方法，技术路线图</w:t>
      </w:r>
    </w:p>
  </w:comment>
  <w:comment w:id="3" w:author="背单词的monster" w:date="2026-03-18T21:48:00Z" w:initials="">
    <w:p>
      <w:pPr>
        <w:overflowPunct w:val="false"/>
        <w:bidi w:val="0"/>
        <w:jc w:val="start"/>
        <w:rPr/>
      </w:pPr>
      <w:r>
        <w:rPr>
          <w:rFonts w:ascii="Times New Roman" w:hAnsi="Times New Roman" w:eastAsia="宋体;SimSun" w:cs="Times New Roman"/>
          <w:color w:val="auto"/>
          <w:kern w:val="2"/>
          <w:sz w:val="21"/>
          <w:szCs w:val="24"/>
          <w:lang w:val="en-US" w:eastAsia="zh-CN" w:bidi="ar-SA"/>
        </w:rPr>
        <w:t>格式</w:t>
      </w:r>
    </w:p>
  </w:comment>
  <w:comment w:id="4" w:author="背单词的monster" w:date="2026-03-18T21:49:00Z" w:initials="">
    <w:p>
      <w:pPr>
        <w:overflowPunct w:val="false"/>
        <w:bidi w:val="0"/>
        <w:jc w:val="start"/>
        <w:rPr/>
      </w:pPr>
      <w:r>
        <w:rPr>
          <w:rFonts w:ascii="Times New Roman" w:hAnsi="Times New Roman" w:eastAsia="宋体;SimSun" w:cs="Times New Roman"/>
          <w:color w:val="auto"/>
          <w:kern w:val="2"/>
          <w:sz w:val="21"/>
          <w:szCs w:val="24"/>
          <w:lang w:val="en-US" w:eastAsia="zh-CN" w:bidi="ar-SA"/>
        </w:rPr>
        <w:t>修改格式</w:t>
      </w:r>
    </w:p>
  </w:comment>
</w:comments>
</file>

<file path=word/fontTable.xml><?xml version="1.0" encoding="utf-8"?>
<w:fonts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Cambria">
    <w:charset w:val="00" w:characterSet="windows-1252"/>
    <w:family w:val="roman"/>
    <w:pitch w:val="variable"/>
  </w:font>
  <w:font w:name="宋体">
    <w:altName w:val="SimSun"/>
    <w:charset w:val="86"/>
    <w:family w:val="auto"/>
    <w:pitch w:val="variable"/>
  </w:font>
  <w:font w:name="黑体">
    <w:altName w:val="SimHei"/>
    <w:charset w:val="86"/>
    <w:family w:val="modern"/>
    <w:pitch w:val="default"/>
  </w:font>
  <w:font w:name="time">
    <w:altName w:val="Times New Roman"/>
    <w:charset w:val="00" w:characterSet="windows-1252"/>
    <w:family w:val="roman"/>
    <w:pitch w:val="default"/>
  </w:font>
</w:fonts>
</file>

<file path=word/footer1.xml><?xml version="1.0" encoding="utf-8"?>
<w:ftr xmlns:w="http://schemas.openxmlformats.org/wordprocessingml/2006/main">
  <w:p>
    <w:pPr>
      <w:jc w:val="center"/>
    </w:pPr>
    <w:r>
      <w:rPr>
        <w:rFonts w:ascii="Times New Roman" w:hAnsi="Times New Roman" w:eastAsia="宋体"/>
        <w:sz w:val="18"/>
        <w:szCs w:val="18"/>
      </w:rPr>
      <w:t>第</w:t>
    </w:r>
    <w:r>
      <w:fldChar w:fldCharType="begin"/>
    </w:r>
    <w:r>
      <w:instrText xml:space="preserve"> PAGE </w:instrText>
    </w:r>
    <w:r>
      <w:fldChar w:fldCharType="end"/>
    </w:r>
    <w:r>
      <w:t>页 共</w:t>
    </w:r>
    <w:r>
      <w:fldChar w:fldCharType="begin"/>
    </w:r>
    <w:r>
      <w:instrText xml:space="preserve"> NUMPAGES </w:instrText>
    </w:r>
    <w:r>
      <w:fldChar w:fldCharType="end"/>
    </w:r>
    <w:r>
      <w:t>页</w:t>
    </w:r>
  </w:p>
</w:ftr>
</file>

<file path=word/footer2.xml><?xml version="1.0" encoding="utf-8"?>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Footer"/>
      <w:jc w:val="center"/>
      <w:rPr/>
    </w:pPr>
    <w:r>
      <w:rPr/>
      <w:fldChar w:fldCharType="begin"/>
    </w:r>
    <w:r>
      <w:rPr/>
      <w:instrText xml:space="preserve"> PAGE </w:instrText>
    </w:r>
    <w:r>
      <w:rPr/>
      <w:fldChar w:fldCharType="separate"/>
    </w:r>
    <w:r>
      <w:rPr/>
      <w:t>II</w:t>
    </w:r>
    <w:r>
      <w:rPr/>
      <w:fldChar w:fldCharType="end"/>
    </w:r>
  </w:p>
  <w:p>
    <w:pPr>
      <w:pStyle w:val="Footer"/>
      <w:rPr/>
    </w:pPr>
    <w:r>
      <w:rPr/>
    </w:r>
  </w:p>
</w:ftr>
</file>

<file path=word/footer3.xml><?xml version="1.0" encoding="utf-8"?>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ftr>
</file>

<file path=word/footer4.xml><?xml version="1.0" encoding="utf-8"?>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Footer"/>
      <w:rPr/>
    </w:pPr>
    <w:r>
      <w:rPr/>
    </w:r>
  </w:p>
  <w:p>
    <w:pPr>
      <w:pStyle w:val="Footer"/>
      <w:rPr/>
    </w:pPr>
    <w:r>
      <w:rPr/>
    </w:r>
  </w:p>
</w:ftr>
</file>

<file path=word/footer5.xml><?xml version="1.0" encoding="utf-8"?>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ftr>
</file>

<file path=word/footer6.xml><?xml version="1.0" encoding="utf-8"?>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Footer"/>
      <w:jc w:val="center"/>
      <w:rPr/>
    </w:pPr>
    <w:r>
      <w:rPr/>
      <w:fldChar w:fldCharType="begin"/>
    </w:r>
    <w:r>
      <w:rPr/>
      <w:instrText xml:space="preserve"> PAGE </w:instrText>
    </w:r>
    <w:r>
      <w:rPr/>
      <w:fldChar w:fldCharType="separate"/>
    </w:r>
    <w:r>
      <w:rPr/>
      <w:t>11</w:t>
    </w:r>
    <w:r>
      <w:rPr/>
      <w:fldChar w:fldCharType="end"/>
    </w:r>
  </w:p>
  <w:p>
    <w:pPr>
      <w:pStyle w:val="Footer"/>
      <w:rPr/>
    </w:pPr>
    <w:r>
      <w:rPr/>
    </w:r>
  </w:p>
</w:ftr>
</file>

<file path=word/footer7.xml><?xml version="1.0" encoding="utf-8"?>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ftr>
</file>

<file path=word/footer8.xml><?xml version="1.0" encoding="utf-8"?>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jc w:val="center"/>
    </w:pPr>
    <w:r>
      <w:rPr>
        <w:rFonts w:ascii="宋体" w:hAnsi="宋体" w:eastAsia="宋体" w:cs="宋体"/>
        <w:sz w:val="18"/>
        <w:szCs w:val="18"/>
      </w:rPr>
      <w:t>-</w:t>
    </w:r>
    <w:fldSimple w:instr=" PAGE ">
      <w:r>
        <w:rPr>
          <w:rFonts w:ascii="宋体" w:hAnsi="宋体" w:eastAsia="宋体"/>
          <w:sz w:val="18"/>
          <w:szCs w:val="18"/>
        </w:rPr>
        <w:t>1</w:t>
      </w:r>
    </w:fldSimple>
    <w:r>
      <w:rPr>
        <w:rFonts w:ascii="宋体" w:hAnsi="宋体" w:eastAsia="宋体" w:cs="宋体"/>
        <w:sz w:val="18"/>
        <w:szCs w:val="18"/>
      </w:rPr>
      <w:t>-</w:t>
    </w:r>
  </w:p>
</w:ftr>
</file>

<file path=word/header1.xml><?xml version="1.0" encoding="utf-8"?>
<w:hdr xmlns:w="http://schemas.openxmlformats.org/wordprocessingml/2006/main">
  <w:p>
    <w:pPr>
      <w:jc w:val="center"/>
      <w:pBdr>
        <w:bottom w:val="double" w:sz="6" w:space="1" w:color="auto"/>
      </w:pBdr>
    </w:pPr>
    <w:r>
      <w:rPr>
        <w:rFonts w:ascii="Times New Roman" w:hAnsi="Times New Roman" w:eastAsia="宋体"/>
        <w:sz w:val="18"/>
        <w:szCs w:val="18"/>
      </w:rPr>
      <w:t>重庆人文科技学院2026届护理学专业本科毕业论文</w:t>
    </w:r>
  </w:p>
</w:hdr>
</file>

<file path=word/header2.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Header"/>
      <w:pBdr>
        <w:bottom w:val="nil"/>
      </w:pBdr>
      <w:rPr/>
    </w:pPr>
    <w:r>
      <w:rPr/>
    </w:r>
  </w:p>
</w:hdr>
</file>

<file path=word/header3.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hdr>
</file>

<file path=word/header4.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Header"/>
      <w:pBdr>
        <w:bottom w:val="nil"/>
      </w:pBdr>
      <w:rPr/>
    </w:pPr>
    <w:r>
      <w:rPr/>
    </w:r>
  </w:p>
</w:hdr>
</file>

<file path=word/header5.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hdr>
</file>

<file path=word/header6.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Header"/>
      <w:pBdr>
        <w:bottom w:val="nil"/>
      </w:pBdr>
      <w:rPr/>
    </w:pPr>
    <w:r>
      <w:rPr/>
    </w:r>
  </w:p>
</w:hdr>
</file>

<file path=word/header7.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hdr>
</file>

<file path=word/header8.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Bdr>
        <w:bottom w:val="single" w:color="auto" w:sz="4" w:space="1"/>
      </w:pBdr>
      <w:jc w:val="center"/>
    </w:pPr>
    <w:r>
      <w:rPr>
        <w:rFonts w:ascii="宋体" w:hAnsi="宋体" w:eastAsia="宋体" w:cs="宋体"/>
        <w:sz w:val="18"/>
        <w:szCs w:val="18"/>
      </w:rPr>
      <w:t>重庆人文科技学院X堀堀届X堀堀专业本科毕业论文 或 重庆人文科技学院X堀堀届X堀堀专业本科毕业设计</w:t>
    </w:r>
  </w:p>
</w:hdr>
</file>

<file path=word/numbering.xml><?xml version="1.0" encoding="utf-8"?>
<w:numbering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zoom w:percent="100"/>
  <w:defaultTabStop w:val="709"/>
  <w:autoHyphenation w:val="true"/>
  <w:hyphenationZone w:val="0"/>
  <w:compat>
    <w:noLeading/>
    <w:doNotExpandShiftReturn/>
    <w:compatSetting w:name="compatibilityMode" w:uri="http://schemas.microsoft.com/office/word" w:val="11"/>
  </w:compat>
  <w:docVars>
    <w:docVar w:name="commondata" w:val="eyJoZGlkIjoiNDAxYjM2OGMxYmRmZmM2ZjE0Y2MwYzA2NjE1YmM5ZTEifQ=="/>
  </w:docVars>
</w:settings>
</file>

<file path=word/styles.xml><?xml version="1.0" encoding="utf-8"?>
<w:styles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docDefaults>
    <w:rPrDefault>
      <w:rPr>
        <w:rFonts w:ascii="宋体" w:hAnsi="宋体" w:eastAsia="宋体" w:cs="宋体"/>
        <w:sz w:val="24"/>
        <w:szCs w:val="24"/>
        <w:lang w:val="en-US" w:eastAsia="zh-CN" w:bidi="hi-IN"/>
      </w:rPr>
    </w:rPrDefault>
    <w:pPrDefault>
      <w:pPr>
        <w:suppressAutoHyphens w:val="true"/>
        <w:jc w:val="both"/>
      </w:pPr>
    </w:pPrDefault>
  </w:docDefaults>
  <w:style w:type="paragraph" w:styleId="Normal">
    <w:name w:val="Normal"/>
    <w:qFormat/>
    <w:pPr>
      <w:widowControl w:val="false"/>
      <w:bidi w:val="false"/>
      <w:spacing w:line="360" w:lineRule="auto"/>
      <w:ind w:firstLineChars="200"/>
      <w:jc w:val="both"/>
    </w:pPr>
    <w:rPr>
      <w:rFonts w:ascii="宋体" w:hAnsi="宋体" w:eastAsia="宋体" w:cs="宋体"/>
      <w:color w:val="auto"/>
      <w:kern w:val="2"/>
      <w:sz w:val="24"/>
      <w:szCs w:val="24"/>
      <w:lang w:val="en-US" w:eastAsia="zh-CN" w:bidi="ar-SA"/>
    </w:rPr>
  </w:style>
  <w:style w:type="paragraph" w:styleId="Heading1">
    <w:name w:val="heading 1"/>
    <w:basedOn w:val="Normal"/>
    <w:next w:val="Normal"/>
    <w:qFormat/>
    <w:pPr>
      <w:keepNext w:val="true"/>
      <w:keepLines/>
      <w:numPr>
        <w:ilvl w:val="0"/>
        <w:numId w:val="1"/>
      </w:numPr>
      <w:spacing w:before="100" w:after="100" w:line="360" w:lineRule="auto"/>
      <w:jc w:val="left"/>
      <w:outlineLvl w:val="0"/>
    </w:pPr>
    <w:rPr>
      <w:rFonts w:ascii="宋体" w:hAnsi="宋体" w:eastAsia="宋体" w:cs="宋体"/>
      <w:b/>
      <w:bCs/>
      <w:kern w:val="2"/>
      <w:sz w:val="32"/>
      <w:szCs w:val="32"/>
    </w:rPr>
  </w:style>
  <w:style w:type="paragraph" w:styleId="Heading2">
    <w:name w:val="heading 2"/>
    <w:basedOn w:val="Normal"/>
    <w:next w:val="Normal"/>
    <w:qFormat/>
    <w:pPr>
      <w:keepNext w:val="true"/>
      <w:keepLines/>
      <w:numPr>
        <w:ilvl w:val="1"/>
        <w:numId w:val="1"/>
      </w:numPr>
      <w:spacing w:line="360" w:lineRule="auto"/>
      <w:ind w:start="0" w:end="0" w:firstLine="480"/>
      <w:jc w:val="left"/>
      <w:outlineLvl w:val="1"/>
    </w:pPr>
    <w:rPr>
      <w:rFonts w:ascii="宋体" w:hAnsi="宋体" w:eastAsia="宋体" w:cs="宋体"/>
      <w:b/>
      <w:bCs/>
      <w:sz w:val="30"/>
      <w:szCs w:val="30"/>
    </w:rPr>
  </w:style>
  <w:style w:type="paragraph" w:styleId="Heading3">
    <w:name w:val="heading 3"/>
    <w:basedOn w:val="Normal"/>
    <w:next w:val="Normal"/>
    <w:qFormat/>
    <w:pPr>
      <w:keepNext w:val="true"/>
      <w:keepLines/>
      <w:numPr>
        <w:ilvl w:val="2"/>
        <w:numId w:val="1"/>
      </w:numPr>
      <w:spacing w:line="360" w:lineRule="auto"/>
      <w:ind w:start="0" w:end="0" w:firstLine="480"/>
      <w:jc w:val="left"/>
      <w:outlineLvl w:val="2"/>
    </w:pPr>
    <w:rPr>
      <w:rFonts w:ascii="宋体" w:hAnsi="宋体" w:eastAsia="宋体" w:cs="宋体"/>
      <w:b/>
      <w:bCs/>
      <w:sz w:val="28"/>
      <w:szCs w:val="28"/>
    </w:rPr>
  </w:style>
  <w:style w:type="paragraph" w:styleId="Heading4">
    <w:name w:val="heading 4"/>
    <w:basedOn w:val="Normal"/>
    <w:next w:val="Normal"/>
    <w:qFormat/>
    <w:pPr>
      <w:keepNext w:val="true"/>
      <w:keepLines/>
      <w:numPr>
        <w:ilvl w:val="3"/>
        <w:numId w:val="1"/>
      </w:numPr>
      <w:spacing w:line="360" w:lineRule="auto"/>
      <w:ind w:start="0" w:end="0" w:firstLine="480"/>
      <w:jc w:val="start"/>
      <w:outlineLvl w:val="3"/>
    </w:pPr>
    <w:rPr>
      <w:rFonts w:ascii="Arial" w:hAnsi="Arial" w:eastAsia="宋体;SimSun" w:cs="Arial"/>
      <w:b w:val="false"/>
      <w:sz w:val="28"/>
    </w:rPr>
  </w:style>
  <w:style w:type="paragraph" w:styleId="Heading6">
    <w:name w:val="heading 6"/>
    <w:basedOn w:val="Normal"/>
    <w:next w:val="Normal"/>
    <w:qFormat/>
    <w:pPr>
      <w:keepNext w:val="true"/>
      <w:keepLines/>
      <w:numPr>
        <w:ilvl w:val="5"/>
        <w:numId w:val="1"/>
      </w:numPr>
      <w:spacing w:before="0" w:after="200" w:line="360" w:lineRule="auto"/>
      <w:jc w:val="center"/>
      <w:outlineLvl w:val="5"/>
    </w:pPr>
    <w:rPr>
      <w:rFonts w:ascii="Arial" w:hAnsi="Arial" w:eastAsia="黑体;SimHei" w:cs="Arial"/>
      <w:b/>
      <w:sz w:val="30"/>
    </w:rPr>
  </w:style>
  <w:style w:type="character" w:styleId="Style9">
    <w:name w:val="默认段落字体"/>
    <w:qFormat/>
    <w:rPr/>
  </w:style>
  <w:style w:type="character" w:styleId="1">
    <w:name w:val="标题 1 字符"/>
    <w:qFormat/>
    <w:rPr>
      <w:rFonts w:ascii="Times New Roman" w:hAnsi="Times New Roman" w:eastAsia="宋体;SimSun" w:cs="Times New Roman"/>
      <w:b/>
      <w:bCs/>
      <w:kern w:val="2"/>
      <w:sz w:val="32"/>
      <w:szCs w:val="44"/>
    </w:rPr>
  </w:style>
  <w:style w:type="character" w:styleId="Style10">
    <w:name w:val="批注文字 字符"/>
    <w:qFormat/>
    <w:rPr>
      <w:rFonts w:ascii="Times New Roman" w:hAnsi="Times New Roman" w:cs="Times New Roman"/>
      <w:kern w:val="2"/>
      <w:sz w:val="21"/>
      <w:szCs w:val="24"/>
    </w:rPr>
  </w:style>
  <w:style w:type="character" w:styleId="Style11">
    <w:name w:val="日期 字符"/>
    <w:qFormat/>
    <w:rPr>
      <w:kern w:val="2"/>
      <w:sz w:val="21"/>
      <w:szCs w:val="24"/>
    </w:rPr>
  </w:style>
  <w:style w:type="character" w:styleId="Style12">
    <w:name w:val="批注框文本 字符"/>
    <w:qFormat/>
    <w:rPr>
      <w:rFonts w:ascii="Times New Roman" w:hAnsi="Times New Roman" w:eastAsia="宋体;SimSun" w:cs="Times New Roman"/>
      <w:sz w:val="18"/>
      <w:szCs w:val="18"/>
    </w:rPr>
  </w:style>
  <w:style w:type="character" w:styleId="Style13">
    <w:name w:val="页脚 字符"/>
    <w:qFormat/>
    <w:rPr>
      <w:rFonts w:ascii="Times New Roman" w:hAnsi="Times New Roman" w:cs="Times New Roman"/>
      <w:kern w:val="2"/>
      <w:sz w:val="18"/>
      <w:szCs w:val="18"/>
    </w:rPr>
  </w:style>
  <w:style w:type="character" w:styleId="Style14">
    <w:name w:val="页眉 字符"/>
    <w:qFormat/>
    <w:rPr>
      <w:rFonts w:ascii="Times New Roman" w:hAnsi="Times New Roman" w:cs="Times New Roman"/>
      <w:kern w:val="2"/>
      <w:sz w:val="18"/>
      <w:szCs w:val="18"/>
    </w:rPr>
  </w:style>
  <w:style w:type="character" w:styleId="Hyperlink">
    <w:name w:val="Hyperlink"/>
    <w:rPr>
      <w:color w:val="0000FF"/>
      <w:u w:val="single"/>
    </w:rPr>
  </w:style>
  <w:style w:type="character" w:styleId="Style15">
    <w:name w:val="批注引用"/>
    <w:qFormat/>
    <w:rPr>
      <w:sz w:val="21"/>
      <w:szCs w:val="21"/>
    </w:rPr>
  </w:style>
  <w:style w:type="character" w:styleId="1Char">
    <w:name w:val="样式1 Char"/>
    <w:qFormat/>
    <w:rPr/>
  </w:style>
  <w:style w:type="character" w:styleId="2Char">
    <w:name w:val="样式2 Char"/>
    <w:qFormat/>
    <w:rPr/>
  </w:style>
  <w:style w:type="character" w:styleId="3Char">
    <w:name w:val="样式3 Char"/>
    <w:qFormat/>
    <w:rPr/>
  </w:style>
  <w:style w:type="character" w:styleId="4Char">
    <w:name w:val="样式4 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pPr>
      <w:spacing w:before="0" w:after="140" w:line="276" w:lineRule="auto"/>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Style16">
    <w:name w:val="批注文字"/>
    <w:basedOn w:val="Normal"/>
    <w:qFormat/>
    <w:pPr>
      <w:jc w:val="start"/>
    </w:pPr>
    <w:rPr/>
  </w:style>
  <w:style w:type="paragraph" w:styleId="TOC3">
    <w:name w:val="toc 3"/>
    <w:basedOn w:val="Normal"/>
    <w:next w:val="Normal"/>
    <w:pPr>
      <w:ind w:start="840" w:end="0" w:hanging="0"/>
    </w:pPr>
    <w:rPr/>
  </w:style>
  <w:style w:type="paragraph" w:styleId="Style17">
    <w:name w:val="日期"/>
    <w:basedOn w:val="Normal"/>
    <w:next w:val="Normal"/>
    <w:qFormat/>
    <w:pPr>
      <w:ind w:start="100" w:end="0" w:hanging="0"/>
    </w:pPr>
    <w:rPr/>
  </w:style>
  <w:style w:type="paragraph" w:styleId="Style18">
    <w:name w:val="批注框文本"/>
    <w:basedOn w:val="Normal"/>
    <w:qFormat/>
    <w:pPr/>
    <w:rPr>
      <w:kern w:val="0"/>
      <w:sz w:val="18"/>
      <w:szCs w:val="18"/>
    </w:rPr>
  </w:style>
  <w:style w:type="paragraph" w:styleId="HeaderandFooter">
    <w:name w:val="Header and Footer"/>
    <w:basedOn w:val="Normal"/>
    <w:qFormat/>
    <w:pPr>
      <w:suppressLineNumbers/>
      <w:tabs>
        <w:tab w:val="clear" w:pos="420"/>
        <w:tab w:val="center" w:leader="none" w:pos="4986"/>
        <w:tab w:val="right" w:leader="none" w:pos="9972"/>
      </w:tabs>
    </w:pPr>
    <w:rPr/>
  </w:style>
  <w:style w:type="paragraph" w:styleId="Footer">
    <w:name w:val="footer"/>
    <w:basedOn w:val="Normal"/>
    <w:pPr>
      <w:tabs>
        <w:tab w:val="clear" w:pos="420"/>
        <w:tab w:val="center" w:leader="none" w:pos="4153"/>
        <w:tab w:val="right" w:leader="none" w:pos="8306"/>
      </w:tabs>
      <w:snapToGrid w:val="false"/>
      <w:jc w:val="start"/>
    </w:pPr>
    <w:rPr>
      <w:sz w:val="18"/>
      <w:szCs w:val="18"/>
    </w:rPr>
  </w:style>
  <w:style w:type="paragraph" w:styleId="Header">
    <w:name w:val="header"/>
    <w:basedOn w:val="Normal"/>
    <w:pPr>
      <w:pBdr>
        <w:bottom w:val="single" w:color="000000" w:sz="6" w:space="1"/>
      </w:pBdr>
      <w:tabs>
        <w:tab w:val="clear" w:pos="420"/>
        <w:tab w:val="center" w:leader="none" w:pos="4153"/>
        <w:tab w:val="right" w:leader="none" w:pos="8306"/>
      </w:tabs>
      <w:snapToGrid w:val="false"/>
      <w:jc w:val="center"/>
    </w:pPr>
    <w:rPr>
      <w:sz w:val="18"/>
      <w:szCs w:val="18"/>
    </w:rPr>
  </w:style>
  <w:style w:type="paragraph" w:styleId="TOC1">
    <w:name w:val="toc 1"/>
    <w:basedOn w:val="Normal"/>
    <w:next w:val="Normal"/>
    <w:pPr/>
    <w:rPr/>
  </w:style>
  <w:style w:type="paragraph" w:styleId="TOC2">
    <w:name w:val="toc 2"/>
    <w:basedOn w:val="Normal"/>
    <w:next w:val="Normal"/>
    <w:pPr>
      <w:ind w:start="420" w:end="0" w:hanging="0"/>
    </w:pPr>
    <w:rPr/>
  </w:style>
  <w:style w:type="paragraph" w:styleId="TOC">
    <w:name w:val="TOC 标题"/>
    <w:basedOn w:val="Heading1"/>
    <w:next w:val="Normal"/>
    <w:qFormat/>
    <w:pPr>
      <w:widowControl/>
      <w:numPr>
        <w:ilvl w:val="0"/>
        <w:numId w:val="0"/>
      </w:numPr>
      <w:spacing w:before="480" w:after="0" w:line="276" w:lineRule="auto"/>
      <w:jc w:val="start"/>
      <w:outlineLvl w:val="9"/>
    </w:pPr>
    <w:rPr>
      <w:rFonts w:ascii="Cambria" w:hAnsi="Cambria" w:eastAsia="宋体;SimSun" w:cs="Times New Roman"/>
      <w:color w:val="365F91"/>
      <w:kern w:val="0"/>
      <w:sz w:val="28"/>
      <w:szCs w:val="28"/>
    </w:rPr>
  </w:style>
  <w:style w:type="paragraph" w:styleId="11">
    <w:name w:val="样式1"/>
    <w:basedOn w:val="Header"/>
    <w:qFormat/>
    <w:pPr/>
    <w:rPr/>
  </w:style>
  <w:style w:type="paragraph" w:styleId="2">
    <w:name w:val="样式2"/>
    <w:basedOn w:val="11"/>
    <w:qFormat/>
    <w:pPr>
      <w:pBdr>
        <w:bottom w:val="double" w:color="000000" w:sz="4" w:space="1"/>
      </w:pBdr>
    </w:pPr>
    <w:rPr/>
  </w:style>
  <w:style w:type="paragraph" w:styleId="3">
    <w:name w:val="样式3"/>
    <w:basedOn w:val="Header"/>
    <w:qFormat/>
    <w:pPr/>
    <w:rPr/>
  </w:style>
  <w:style w:type="paragraph" w:styleId="4">
    <w:name w:val="样式4"/>
    <w:basedOn w:val="3"/>
    <w:qFormat/>
    <w:pPr>
      <w:pBdr>
        <w:bottom w:val="double" w:color="000000" w:sz="4" w:space="1"/>
      </w:pBdr>
    </w:pPr>
    <w:rPr/>
  </w:style>
  <w:style w:type="paragraph" w:styleId="Style19">
    <w:name w:val="列表段落"/>
    <w:basedOn w:val="Normal"/>
    <w:qFormat/>
    <w:pPr>
      <w:ind w:start="0" w:end="0" w:firstLine="420"/>
    </w:pPr>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standalone="yes"?>
<Relationships xmlns="http://schemas.openxmlformats.org/package/2006/relationships"><Relationship Target="styles.xml" Type="http://schemas.openxmlformats.org/officeDocument/2006/relationships/styles" Id="rId1"/><Relationship Target="media/image1.png" Type="http://schemas.openxmlformats.org/officeDocument/2006/relationships/image" Id="rId2"/><Relationship Target="header1.xml" Type="http://schemas.openxmlformats.org/officeDocument/2006/relationships/header" Id="rId3"/><Relationship Target="footer1.xml" Type="http://schemas.openxmlformats.org/officeDocument/2006/relationships/footer" Id="rId4"/><Relationship Target="header2.xml" Type="http://schemas.openxmlformats.org/officeDocument/2006/relationships/header" Id="rId5"/><Relationship Target="header3.xml" Type="http://schemas.openxmlformats.org/officeDocument/2006/relationships/header" Id="rId6"/><Relationship Target="footer2.xml" Type="http://schemas.openxmlformats.org/officeDocument/2006/relationships/footer" Id="rId7"/><Relationship Target="footer3.xml" Type="http://schemas.openxmlformats.org/officeDocument/2006/relationships/footer" Id="rId8"/><Relationship Target="header4.xml" Type="http://schemas.openxmlformats.org/officeDocument/2006/relationships/header" Id="rId9"/><Relationship Target="header5.xml" Type="http://schemas.openxmlformats.org/officeDocument/2006/relationships/header" Id="rId10"/><Relationship Target="footer4.xml" Type="http://schemas.openxmlformats.org/officeDocument/2006/relationships/footer" Id="rId11"/><Relationship Target="footer5.xml" Type="http://schemas.openxmlformats.org/officeDocument/2006/relationships/footer" Id="rId12"/><Relationship Target="header6.xml" Type="http://schemas.openxmlformats.org/officeDocument/2006/relationships/header" Id="rId13"/><Relationship Target="header7.xml" Type="http://schemas.openxmlformats.org/officeDocument/2006/relationships/header" Id="rId14"/><Relationship Target="footer6.xml" Type="http://schemas.openxmlformats.org/officeDocument/2006/relationships/footer" Id="rId15"/><Relationship Target="footer7.xml" Type="http://schemas.openxmlformats.org/officeDocument/2006/relationships/footer" Id="rId16"/><Relationship Target="comments.xml" Type="http://schemas.openxmlformats.org/officeDocument/2006/relationships/comments" Id="rId17"/><Relationship Target="numbering.xml" Type="http://schemas.openxmlformats.org/officeDocument/2006/relationships/numbering" Id="rId18"/><Relationship Target="fontTable.xml" Type="http://schemas.openxmlformats.org/officeDocument/2006/relationships/fontTable" Id="rId19"/><Relationship Target="settings.xml" Type="http://schemas.openxmlformats.org/officeDocument/2006/relationships/settings" Id="rId20"/><Relationship Target="theme/theme1.xml" Type="http://schemas.openxmlformats.org/officeDocument/2006/relationships/theme" Id="rId21"/><Relationship Target="header8.xml" Type="http://schemas.openxmlformats.org/officeDocument/2006/relationships/header" Id="rId22"/><Relationship Target="footer8.xml" Type="http://schemas.openxmlformats.org/officeDocument/2006/relationships/footer" Id="rId23"/><Relationship Id="rIdCQRWSTHeader1" Type="http://schemas.openxmlformats.org/officeDocument/2006/relationships/header" Target="header1.xml"/><Relationship Id="rIdCQRWSTFooter1" Type="http://schemas.openxmlformats.org/officeDocument/2006/relationships/footer" Target="footer1.xml"/></Relationships>

</file>

<file path=word/theme/theme1.xml><?xml version="1.0" encoding="utf-8"?>
<a:theme xmlns="http://schemas.openxmlformats.org/drawingml/2006/main" xmlns:a="http://schemas.openxmlformats.org/drawingml/2006/main" xmlns:r="http://schemas.openxmlformats.org/officeDocument/2006/relationships" xmlns:sh="http://schemas.openxmlformats.org/officeDocument/2006/sharedType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charset="1"/>
        <a:ea typeface="DejaVu Sans" charset="1"/>
        <a:cs typeface="DejaVu Sans" charset="1"/>
      </a:majorFont>
      <a:minorFont>
        <a:latin typeface="Arial" charset="1"/>
        <a:ea typeface="DejaVu Sans" charset="1"/>
        <a:cs typeface="DejaVu Sans"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351</TotalTime>
  <Application>LibreOffice/24.8.6.2$Linux_X86_64 LibreOffice_project/480$Build-2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2026-03-06T13:35:00Z</dcterms:created>
  <dc:creator>Administrator</dc:creator>
  <dc:description/>
  <cp:keywords/>
  <dc:language>en-US</dc:language>
  <cp:lastModifiedBy>ryq040418@outlook.com</cp:lastModifiedBy>
  <dcterms:modified xsi:type="dcterms:W3CDTF">2026-03-20T20:46:00Z</dcterms:modified>
  <cp:revision>16</cp:revision>
  <dc:subject/>
  <dc:title/>
</cp:coreProperties>
</file>

<file path=docProps/custom.xml><?xml version="1.0" encoding="utf-8"?>
<Properties xmlns="http://schemas.openxmlformats.org/officeDocument/2006/custom-properties" xmlns:s="http://schemas.openxmlformats.org/officeDocument/2006/sharedTypes" xmlns:vt="http://schemas.openxmlformats.org/officeDocument/2006/docPropsVTypes">
  <property fmtid="{D5CDD505-2E9C-101B-9397-08002B2CF9AE}" pid="2" name="ICV">
    <vt:lpwstr>F3E33334305D4065A843A49638255F53_12</vt:lpwstr>
  </property>
  <property fmtid="{D5CDD505-2E9C-101B-9397-08002B2CF9AE}" pid="3" name="KSOProductBuildVer">
    <vt:lpwstr>2052-12.1.0.25225</vt:lpwstr>
  </property>
  <property fmtid="{D5CDD505-2E9C-101B-9397-08002B2CF9AE}" pid="4" name="KSOTemplateDocerSaveRecord">
    <vt:lpwstr>eyJoZGlkIjoiMzYxYmJjNTQ1NDEzMzA1YmU4MTMwMmM3ZjhiNzc4ZDgiLCJ1c2VySWQiOiI0NTgzMDg2NDQifQ==</vt:lpwstr>
  </property>
</Properties>
</file>