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2026年3月</w:t>
      </w:r>
      <w:r>
        <w:rPr>
          <w:rFonts w:ascii="宋体;SimSun" w:hAnsi="宋体;SimSun" w:cs="宋体;SimSun"/>
          <w:b/>
          <w:bCs/>
          <w:sz w:val="32"/>
          <w:szCs w:val="32"/>
        </w:rPr>
        <w:t/>
      </w:r>
      <w:r>
        <w:rPr>
          <w:rFonts w:ascii="宋体;SimSun" w:hAnsi="宋体;SimSun" w:cs="宋体;SimSun"/>
          <w:b/>
          <w:bCs/>
          <w:sz w:val="32"/>
          <w:szCs w:val="32"/>
        </w:rPr>
        <w:t/>
      </w:r>
      <w:r>
        <w:rPr>
          <w:rFonts w:ascii="宋体;SimSun" w:hAnsi="宋体;SimSun" w:cs="宋体;SimSun"/>
          <w:b/>
          <w:bCs/>
          <w:sz w:val="32"/>
          <w:szCs w:val="32"/>
        </w:rPr>
        <w:t xml:space="preserve"/>
      </w:r>
      <w:r>
        <w:rPr>
          <w:rFonts w:ascii="宋体;SimSun" w:hAnsi="宋体;SimSun" w:cs="宋体;SimSun"/>
          <w:b/>
          <w:bCs/>
          <w:sz w:val="32"/>
          <w:szCs w:val="32"/>
        </w:rPr>
        <w:t xml:space="preserve"/>
      </w:r>
      <w:r>
        <w:rPr>
          <w:rFonts w:ascii="宋体;SimSun" w:hAnsi="宋体;SimSun" w:cs="宋体;SimSun"/>
          <w:b/>
          <w:bCs/>
          <w:sz w:val="32"/>
          <w:szCs w:val="32"/>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spacing w:line="360" w:lineRule="auto"/>
            <w:pStyle w:val="TOC2"/>
            <w:tabs>
              <w:tab w:val="clear" w:pos="420"/>
              <w:tab w:val="right" w:leader="dot" w:pos="9344"/>
            </w:tabs>
            <w:rPr/>
          </w:pPr>
          <w:hyperlink w:anchor="__RefHeading___Toc224858173">
            <w:r>
              <w:rPr>
                <w:rFonts w:ascii="宋体" w:hAnsi="宋体" w:eastAsia=""/>
                <w:sz w:val="30"/>
                <w:szCs w:val="30"/>
                <w:b/>
                <w:bCs/>
                <w:rStyle w:val="IndexLink"/>
                <w:lang w:val="en-US" w:eastAsia="en-US"/>
              </w:rPr>
              <w:t>1.2 研究目的1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4">
            <w:r>
              <w:rPr>
                <w:rFonts w:ascii="宋体" w:hAnsi="宋体" w:eastAsia=""/>
                <w:sz w:val="30"/>
                <w:szCs w:val="30"/>
                <w:b/>
                <w:bCs/>
                <w:rStyle w:val="IndexLink"/>
                <w:lang w:val="en-US" w:eastAsia="en-US"/>
              </w:rPr>
              <w:t>1.3 研究意义1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5">
            <w:r>
              <w:rPr>
                <w:rFonts w:ascii="宋体" w:hAnsi="宋体" w:eastAsia=""/>
                <w:sz w:val="30"/>
                <w:szCs w:val="30"/>
                <w:b/>
                <w:bCs/>
                <w:rStyle w:val="IndexLink"/>
                <w:lang w:val="en-US" w:eastAsia="en-US"/>
              </w:rPr>
              <w:t>1.4 国内外研究现状 2</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3"/>
            <w:tabs>
              <w:tab w:val="clear" w:pos="420"/>
              <w:tab w:val="right" w:leader="dot" w:pos="9344"/>
            </w:tabs>
            <w:rPr/>
          </w:pPr>
          <w:hyperlink w:anchor="__RefHeading___Toc224858176">
            <w:r>
              <w:rPr>
                <w:rFonts w:ascii="宋体" w:hAnsi="宋体" w:eastAsia=""/>
                <w:sz w:val="28"/>
                <w:szCs w:val="28"/>
                <w:b/>
                <w:bCs/>
                <w:rStyle w:val="IndexLink"/>
                <w:lang w:val="en-US" w:eastAsia="en-US"/>
              </w:rPr>
              <w:t>1.4.2 国内研究现状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77">
            <w:r>
              <w:rPr>
                <w:rFonts w:ascii="宋体" w:hAnsi="宋体" w:eastAsia=""/>
                <w:sz w:val="28"/>
                <w:szCs w:val="28"/>
                <w:b/>
                <w:bCs/>
                <w:rStyle w:val="IndexLink"/>
                <w:lang w:val="en-US" w:eastAsia="en-US"/>
              </w:rPr>
              <w:t>1.4.1 国外研究现状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4">
            <w:r>
              <w:rPr>
                <w:rFonts w:ascii="宋体" w:hAnsi="宋体" w:eastAsia=""/>
                <w:sz w:val="28"/>
                <w:szCs w:val="28"/>
                <w:b/>
                <w:bCs/>
                <w:rStyle w:val="IndexLink"/>
                <w:lang w:val="en-US" w:eastAsia="en-US"/>
              </w:rPr>
              <w:t>2.1.5 统计方法3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85">
            <w:r>
              <w:rPr>
                <w:rFonts w:ascii="宋体" w:hAnsi="宋体" w:eastAsia=""/>
                <w:sz w:val="28"/>
                <w:szCs w:val="28"/>
                <w:b/>
                <w:bCs/>
                <w:rStyle w:val="IndexLink"/>
                <w:lang w:val="en-US" w:eastAsia="en-US"/>
              </w:rPr>
              <w:t>2.1.6 技术路线图3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beforeLines="100" w:afterLines="100"/>
            <w:jc w:val="left"/>
            <w:pStyle w:val="TOC1"/>
            <w:tabs>
              <w:tab w:val="clear" w:pos="420"/>
              <w:tab w:val="right" w:leader="dot" w:pos="9344"/>
            </w:tabs>
            <w:rPr/>
          </w:pPr>
          <w:hyperlink w:anchor="__RefHeading___Toc224858189">
            <w:r>
              <w:rPr>
                <w:rFonts w:ascii="宋体" w:hAnsi="宋体" w:eastAsia=""/>
                <w:sz w:val="32"/>
                <w:szCs w:val="32"/>
                <w:b/>
                <w:bCs/>
                <w:rStyle w:val="IndexLink"/>
                <w:lang w:val="en-US" w:eastAsia="en-US"/>
              </w:rPr>
              <w:t>3 研究结果 4</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spacing w:line="360" w:lineRule="auto"/>
            <w:pStyle w:val="TOC2"/>
            <w:tabs>
              <w:tab w:val="clear" w:pos="420"/>
              <w:tab w:val="right" w:leader="dot" w:pos="9344"/>
            </w:tabs>
            <w:rPr/>
          </w:pPr>
          <w:hyperlink w:anchor="__RefHeading___Toc224858195">
            <w:r>
              <w:rPr>
                <w:rFonts w:ascii="宋体" w:hAnsi="宋体" w:eastAsia=""/>
                <w:sz w:val="30"/>
                <w:szCs w:val="30"/>
                <w:b/>
                <w:bCs/>
                <w:rStyle w:val="IndexLink"/>
                <w:lang w:val="en-US" w:eastAsia="en-US"/>
              </w:rPr>
              <w:t>4.2 糖尿病患者疾病知识认知水平的多因素分析7</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结论8</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7">
            <w:r>
              <w:rPr>
                <w:rFonts w:ascii="宋体" w:hAnsi="宋体" w:eastAsia=""/>
                <w:sz w:val="30"/>
                <w:szCs w:val="30"/>
                <w:b/>
                <w:bCs/>
                <w:rStyle w:val="IndexLink"/>
                <w:lang w:val="en-US" w:eastAsia="en-US"/>
              </w:rPr>
              <w:t>5.1 单因素分析结果的核心8</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8">
            <w:r>
              <w:rPr>
                <w:rFonts w:ascii="宋体" w:hAnsi="宋体" w:eastAsia=""/>
                <w:sz w:val="30"/>
                <w:szCs w:val="30"/>
                <w:b/>
                <w:bCs/>
                <w:rStyle w:val="IndexLink"/>
                <w:lang w:val="en-US" w:eastAsia="en-US"/>
              </w:rPr>
              <w:t>5.2 多因素分析的关键结论：核心影响因素的筛选与验证9</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9">
            <w:r>
              <w:rPr>
                <w:rFonts w:ascii="宋体" w:hAnsi="宋体" w:eastAsia=""/>
                <w:sz w:val="30"/>
                <w:szCs w:val="30"/>
                <w:b/>
                <w:bCs/>
                <w:rStyle w:val="IndexLink"/>
                <w:lang w:val="en-US" w:eastAsia="en-US"/>
              </w:rPr>
              <w:t>5.3 研究结果对社区糖尿病健康管理的实践意义10</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0">
            <w:r>
              <w:rPr>
                <w:rFonts w:ascii="宋体" w:hAnsi="宋体" w:eastAsia=""/>
                <w:sz w:val="30"/>
                <w:szCs w:val="30"/>
                <w:b/>
                <w:bCs/>
                <w:rStyle w:val="IndexLink"/>
                <w:lang w:val="en-US" w:eastAsia="en-US"/>
              </w:rPr>
              <w:t>5.4 研究的潜在局限性11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1">
            <w:r>
              <w:rPr>
                <w:rFonts w:ascii="宋体" w:hAnsi="宋体" w:eastAsia=""/>
                <w:sz w:val="30"/>
                <w:szCs w:val="30"/>
                <w:b/>
                <w:bCs/>
                <w:rStyle w:val="IndexLink"/>
                <w:lang w:val="en-US" w:eastAsia="en-US"/>
              </w:rPr>
              <w:t>5.5 总结11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宋体" w:hAnsi="宋体" w:eastAsia=""/>
          <w:sz w:val="30"/>
          <w:szCs w:val="30"/>
          <w:b/>
          <w:bCs/>
        </w:rPr>
        <w:t>1.2 研究目的</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宋体" w:hAnsi="宋体" w:eastAsia=""/>
          <w:sz w:val="30"/>
          <w:szCs w:val="30"/>
          <w:b/>
          <w:bCs/>
        </w:rPr>
        <w:t>1.3 研究意义</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宋体" w:hAnsi="宋体" w:eastAsia=""/>
          <w:sz w:val="30"/>
          <w:szCs w:val="30"/>
          <w:b/>
          <w:bCs/>
        </w:rPr>
        <w:t>1.4 国内外研究现状</w:t>
      </w:r>
      <w:r>
        <w:rPr>
          <w:rFonts w:ascii="宋体" w:hAnsi="宋体" w:eastAsia=""/>
          <w:sz w:val="30"/>
          <w:szCs w:val="30"/>
          <w:b/>
          <w:bCs/>
        </w:rPr>
        <w:t/>
      </w:r>
    </w:p>
    <w:p>
      <w:pPr>
        <w:spacing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宋体" w:hAnsi="宋体" w:eastAsia=""/>
          <w:sz w:val="28"/>
          <w:szCs w:val="28"/>
          <w:b/>
          <w:bCs/>
        </w:rPr>
        <w:t>1.4.2 国内研究现状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宋体" w:hAnsi="宋体" w:eastAsia=""/>
          <w:sz w:val="28"/>
          <w:szCs w:val="28"/>
          <w:b/>
          <w:bCs/>
        </w:rPr>
        <w:t>1.4.1 国外研究现状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宋体" w:hAnsi="宋体" w:eastAsia=""/>
          <w:sz w:val="28"/>
          <w:szCs w:val="28"/>
          <w:b/>
          <w:bCs/>
        </w:rPr>
        <w:t>2.1.5 统计方法</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numPr>
          <w:ilvl w:val="0"/>
          <w:numId w:val="0"/>
        </w:numPr>
        <w:outlineLvl w:val="2"/>
        <w:rPr>
          <w:rFonts w:ascii="宋体" w:hAnsi="宋体" w:eastAsia="宋体" w:cs="宋体"/>
          <w:b/>
          <w:sz w:val="28"/>
          <w:szCs w:val="28"/>
        </w:rPr>
      </w:pPr>
      <w:bookmarkStart w:name="__RefHeading___Toc224858185" w:id="16"/>
      <w:r>
        <w:rPr>
          <w:rFonts w:ascii="宋体" w:hAnsi="宋体" w:eastAsia=""/>
          <w:sz w:val="28"/>
          <w:szCs w:val="28"/>
          <w:b/>
          <w:bCs/>
        </w:rPr>
        <w:t>2.1.6 技术路线图</w:t>
      </w:r>
      <w:r>
        <w:rPr>
          <w:rFonts w:ascii="宋体" w:hAnsi="宋体" w:eastAsia=""/>
          <w:sz w:val="28"/>
          <w:szCs w:val="28"/>
          <w:b/>
          <w:bCs/>
        </w:rPr>
        <w:t/>
      </w:r>
      <w:bookmarkEnd w:id="16"/>
      <w:r>
        <w:rPr>
          <w:rFonts w:ascii="宋体" w:hAnsi="宋体" w:eastAsia=""/>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技术路线图</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宋体" w:hAnsi="宋体" w:eastAsia=""/>
          <w:sz w:val="32"/>
          <w:szCs w:val="32"/>
          <w:b/>
          <w:bCs/>
        </w:rPr>
        <w:t>3 研究结果</w:t>
      </w:r>
      <w:r>
        <w:rPr>
          <w:rFonts w:ascii="宋体" w:hAnsi="宋体" w:eastAsia=""/>
          <w:sz w:val="32"/>
          <w:szCs w:val="32"/>
          <w:b/>
          <w:bCs/>
        </w:rPr>
        <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200"/>
        <w:jc w:val="both"/>
        <w:tabs>
          <w:tab w:val="clear" w:pos="420"/>
          <w:tab w:val="left" w:leader="none" w:pos="3289"/>
        </w:tabs>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3-1 </w:t>
      </w: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型糖尿病患者基本特征分布（</w:t>
      </w:r>
      <w:r>
        <w:rPr>
          <w:rFonts w:ascii="Times New Roman" w:hAnsi="Times New Roman" w:eastAsia="宋体"/>
          <w:sz w:val="24"/>
          <w:szCs w:val="24"/>
        </w:rPr>
        <w:t>n=190</w:t>
      </w:r>
      <w:r>
        <w:rPr>
          <w:rFonts w:ascii="Times New Roman" w:hAnsi="Times New Roman" w:eastAsia="宋体"/>
          <w:sz w:val="24"/>
          <w:szCs w:val="24"/>
        </w:rPr>
        <w:t>）</w:t>
      </w:r>
    </w:p>
    <w:p>
      <w:pPr>
        <w:spacing w:line="360" w:lineRule="auto"/>
        <w:ind w:firstLineChars="0"/>
        <w:jc w:val="center"/>
      </w:pPr>
      <w:r>
        <w:rPr>
          <w:rFonts w:ascii="Times New Roman" w:hAnsi="Times New Roman" w:eastAsia="宋体"/>
          <w:sz w:val="21"/>
          <w:szCs w:val="21"/>
        </w:rPr>
        <w:t>表3.1 表格</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4-1 </w:t>
      </w:r>
      <w:r>
        <w:rPr>
          <w:rFonts w:ascii="Times New Roman" w:hAnsi="Times New Roman" w:eastAsia="宋体"/>
          <w:sz w:val="24"/>
          <w:szCs w:val="24"/>
        </w:rPr>
        <w:t>社区二型糖尿病患者疾病认知水平的单因素分析</w:t>
      </w:r>
      <w:r>
        <w:rPr>
          <w:rFonts w:ascii="Times New Roman" w:hAnsi="Times New Roman" w:eastAsia="宋体"/>
          <w:sz w:val="24"/>
          <w:szCs w:val="24"/>
        </w:rPr>
        <w:t>[n(%)]</w:t>
      </w:r>
    </w:p>
    <w:p>
      <w:pPr>
        <w:spacing w:line="360" w:lineRule="auto"/>
        <w:ind w:firstLineChars="0"/>
        <w:jc w:val="center"/>
      </w:pPr>
      <w:r>
        <w:rPr>
          <w:rFonts w:ascii="Times New Roman" w:hAnsi="Times New Roman" w:eastAsia="宋体"/>
          <w:sz w:val="21"/>
          <w:szCs w:val="21"/>
        </w:rPr>
        <w:t>表4.1 表格</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宋体" w:hAnsi="宋体" w:eastAsia=""/>
          <w:sz w:val="30"/>
          <w:szCs w:val="30"/>
          <w:b/>
          <w:bCs/>
        </w:rPr>
        <w:t>4.2 糖尿病患者疾病知识认知水平的多因素分析</w:t>
      </w:r>
      <w:r>
        <w:rPr>
          <w:rFonts w:ascii="宋体" w:hAnsi="宋体" w:eastAsia=""/>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4-2 </w:t>
      </w:r>
      <w:r>
        <w:rPr>
          <w:rFonts w:ascii="Times New Roman" w:hAnsi="Times New Roman" w:eastAsia="宋体"/>
          <w:sz w:val="24"/>
          <w:szCs w:val="24"/>
        </w:rPr>
        <w:t>糖尿病知识水平影响因素的多分类</w:t>
      </w:r>
      <w:r>
        <w:rPr>
          <w:rFonts w:ascii="Times New Roman" w:hAnsi="Times New Roman" w:eastAsia="宋体"/>
          <w:sz w:val="24"/>
          <w:szCs w:val="24"/>
        </w:rPr>
        <w:t>logistic</w:t>
      </w:r>
      <w:r>
        <w:rPr>
          <w:rFonts w:ascii="Times New Roman" w:hAnsi="Times New Roman" w:eastAsia="宋体"/>
          <w:sz w:val="24"/>
          <w:szCs w:val="24"/>
        </w:rPr>
        <w:t>回归分析</w:t>
      </w:r>
    </w:p>
    <w:p>
      <w:pPr>
        <w:spacing w:line="360" w:lineRule="auto"/>
        <w:ind w:firstLineChars="0"/>
        <w:jc w:val="center"/>
      </w:pPr>
      <w:r>
        <w:rPr>
          <w:rFonts w:ascii="Times New Roman" w:hAnsi="Times New Roman" w:eastAsia="宋体"/>
          <w:sz w:val="21"/>
          <w:szCs w:val="21"/>
        </w:rPr>
        <w:t>表4.2 表格</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结论</w:t>
      </w:r>
      <w:r>
        <w:rPr>
          <w:rFonts w:ascii="宋体" w:hAnsi="宋体" w:eastAsia=""/>
          <w:sz w:val="32"/>
          <w:szCs w:val="32"/>
          <w:b/>
          <w:bCs/>
        </w:rPr>
        <w:t/>
      </w:r>
      <w:r>
        <w:rPr>
          <w:rFonts w:ascii="宋体" w:hAnsi="宋体" w:eastAsia=""/>
          <w:sz w:val="32"/>
          <w:szCs w:val="32"/>
          <w:b/>
          <w:bCs/>
        </w:rPr>
        <w:t/>
      </w:r>
      <w:r>
        <w:rPr>
          <w:rFonts w:ascii="宋体" w:hAnsi="宋体" w:eastAsia=""/>
          <w:sz w:val="32"/>
          <w:szCs w:val="32"/>
          <w:b/>
          <w:bCs/>
        </w:rPr>
        <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宋体" w:hAnsi="宋体" w:eastAsia=""/>
          <w:sz w:val="30"/>
          <w:szCs w:val="30"/>
          <w:b/>
          <w:bCs/>
        </w:rPr>
        <w:t>5.1 单因素分析结果的核心</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宋体" w:hAnsi="宋体" w:eastAsia=""/>
          <w:sz w:val="30"/>
          <w:szCs w:val="30"/>
          <w:b/>
          <w:bCs/>
        </w:rPr>
        <w:t>5.2 多因素分析的关键结论：核心影响因素的筛选与验证</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宋体" w:hAnsi="宋体" w:eastAsia=""/>
          <w:sz w:val="30"/>
          <w:szCs w:val="30"/>
          <w:b/>
          <w:bCs/>
        </w:rPr>
        <w:t>5.3 研究结果对社区糖尿病健康管理的实践意义</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宋体" w:hAnsi="宋体" w:eastAsia=""/>
          <w:sz w:val="30"/>
          <w:szCs w:val="30"/>
          <w:b/>
          <w:bCs/>
        </w:rPr>
        <w:t>5.4 研究的潜在局限性</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宋体" w:hAnsi="宋体" w:eastAsia=""/>
          <w:sz w:val="30"/>
          <w:szCs w:val="30"/>
          <w:b/>
          <w:bCs/>
        </w:rPr>
        <w:t>5.5 总结</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重庆人文科技学院XXX届XXX专业本科毕业论文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