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rPr>
          <w:sz w:val="22"/>
          <w:szCs w:val="22"/>
        </w:rPr>
        <w:t xml:space="preserve"/>
      </w:r>
    </w:p>
    <w:p>
      <w:pPr>
        <w:spacing w:before="0" w:after="120"/>
        <w:jc w:val="center"/>
      </w:pPr>
      <w:r>
        <w:rPr>
          <w:rFonts w:ascii="Arial" w:cs="Arial" w:eastAsia="Arial" w:hAnsi="Arial"/>
          <w:b/>
          <w:bCs/>
          <w:color w:val="1E3A5F"/>
          <w:sz w:val="52"/>
          <w:szCs w:val="52"/>
        </w:rPr>
        <w:t xml:space="preserve">MULTILINGUAL ZERO-SHOT QA EVALUATION</w:t>
      </w:r>
    </w:p>
    <w:p>
      <w:pPr>
        <w:spacing w:before="0" w:after="80"/>
        <w:jc w:val="center"/>
      </w:pPr>
      <w:r>
        <w:rPr>
          <w:rFonts w:ascii="Arial" w:cs="Arial" w:eastAsia="Arial" w:hAnsi="Arial"/>
          <w:color w:val="2E75B6"/>
          <w:sz w:val="32"/>
          <w:szCs w:val="32"/>
        </w:rPr>
        <w:t xml:space="preserve">EuroLLM-9B-Instruct on TyDiQA — Without RAG</w:t>
      </w:r>
    </w:p>
    <w:p>
      <w:pPr>
        <w:spacing w:before="0" w:after="320"/>
        <w:jc w:val="center"/>
      </w:pPr>
      <w:r>
        <w:rPr>
          <w:rFonts w:ascii="Arial" w:cs="Arial" w:eastAsia="Arial" w:hAnsi="Arial"/>
          <w:i/>
          <w:iCs/>
          <w:color w:val="717D7E"/>
          <w:sz w:val="28"/>
          <w:szCs w:val="28"/>
        </w:rPr>
        <w:t xml:space="preserve">Comprehensive Analysis Report</w:t>
      </w:r>
    </w:p>
    <w:p>
      <w:pPr>
        <w:spacing w:before="0" w:after="200"/>
        <w:jc w:val="center"/>
      </w:pPr>
      <w:r>
        <w:rPr>
          <w:rFonts w:ascii="Arial" w:cs="Arial" w:eastAsia="Arial" w:hAnsi="Arial"/>
          <w:color w:val="2E75B6"/>
          <w:sz w:val="20"/>
          <w:szCs w:val="20"/>
        </w:rPr>
        <w:t xml:space="preserve">━━━━━━━━━━━━━━━━━━━━━━━━━━━━━━━━━━━━━━━━━━━━━━━━━━━━━━━━━━━━━━━</w:t>
      </w:r>
    </w:p>
    <w:p>
      <w:pPr>
        <w:spacing w:before="0" w:after="60"/>
        <w:jc w:val="center"/>
      </w:pPr>
      <w:r>
        <w:rPr>
          <w:rFonts w:ascii="Arial" w:cs="Arial" w:eastAsia="Arial" w:hAnsi="Arial"/>
          <w:color w:val="333333"/>
          <w:sz w:val="22"/>
          <w:szCs w:val="22"/>
        </w:rPr>
        <w:t xml:space="preserve">Model: utter-project/EuroLLM-9B-Instruct (4-bit NF4 quantised)</w:t>
      </w:r>
    </w:p>
    <w:p>
      <w:pPr>
        <w:spacing w:before="0" w:after="60"/>
        <w:jc w:val="center"/>
      </w:pPr>
      <w:r>
        <w:rPr>
          <w:rFonts w:ascii="Arial" w:cs="Arial" w:eastAsia="Arial" w:hAnsi="Arial"/>
          <w:color w:val="333333"/>
          <w:sz w:val="22"/>
          <w:szCs w:val="22"/>
        </w:rPr>
        <w:t xml:space="preserve">Dataset: google-research-datasets/tydiqa (primary_task, train split)</w:t>
      </w:r>
    </w:p>
    <w:p>
      <w:pPr>
        <w:spacing w:before="0" w:after="60"/>
        <w:jc w:val="center"/>
      </w:pPr>
      <w:r>
        <w:rPr>
          <w:rFonts w:ascii="Arial" w:cs="Arial" w:eastAsia="Arial" w:hAnsi="Arial"/>
          <w:color w:val="333333"/>
          <w:sz w:val="22"/>
          <w:szCs w:val="22"/>
        </w:rPr>
        <w:t xml:space="preserve">Languages: 11  ·  Prompting Strategies: 4  ·  Samples per Language: 200</w:t>
      </w:r>
    </w:p>
    <w:p>
      <w:pPr>
        <w:spacing w:before="0" w:after="60"/>
        <w:jc w:val="center"/>
      </w:pPr>
      <w:r>
        <w:rPr>
          <w:rFonts w:ascii="Arial" w:cs="Arial" w:eastAsia="Arial" w:hAnsi="Arial"/>
          <w:b/>
          <w:bCs/>
          <w:color w:val="C0392B"/>
          <w:sz w:val="22"/>
          <w:szCs w:val="22"/>
        </w:rPr>
        <w:t xml:space="preserve">Condition: Zero-Shot, No Retrieval Augmentation (No RAG)</w:t>
      </w:r>
    </w:p>
    <w:p>
      <w:pPr>
        <w:spacing w:before="0" w:after="400"/>
        <w:jc w:val="center"/>
      </w:pPr>
      <w:r>
        <w:rPr>
          <w:rFonts w:ascii="Arial" w:cs="Arial" w:eastAsia="Arial" w:hAnsi="Arial"/>
          <w:color w:val="333333"/>
          <w:sz w:val="22"/>
          <w:szCs w:val="22"/>
        </w:rPr>
        <w:t xml:space="preserve">Date: 17 February 2026</w:t>
      </w:r>
    </w:p>
    <w:p>
      <w:r>
        <w:br w:type="page"/>
      </w:r>
    </w:p>
    <w:p>
      <w:pPr>
        <w:pStyle w:val="Heading1"/>
        <w:pBdr>
          <w:bottom w:val="single" w:color="2E75B6" w:sz="6" w:space="1"/>
        </w:pBdr>
        <w:spacing w:before="320" w:after="160"/>
      </w:pPr>
      <w:r>
        <w:rPr>
          <w:rFonts w:ascii="Arial" w:cs="Arial" w:eastAsia="Arial" w:hAnsi="Arial"/>
          <w:b/>
          <w:bCs/>
          <w:color w:val="1E3A5F"/>
          <w:sz w:val="36"/>
          <w:szCs w:val="36"/>
        </w:rPr>
        <w:t xml:space="preserve">1. Introduction and Experimental Setup</w:t>
      </w:r>
    </w:p>
    <w:p>
      <w:pPr>
        <w:spacing w:before="60" w:after="100" w:line="300"/>
        <w:jc w:val="both"/>
      </w:pPr>
      <w:r>
        <w:rPr>
          <w:rFonts w:ascii="Arial" w:cs="Arial" w:eastAsia="Arial" w:hAnsi="Arial"/>
          <w:i w:val="false"/>
          <w:iCs w:val="false"/>
          <w:color w:val="111111"/>
          <w:sz w:val="22"/>
          <w:szCs w:val="22"/>
        </w:rPr>
        <w:t xml:space="preserve">This report presents a thorough analysis of EuroLLM-9B-Instruct's zero-shot multilingual extractive question-answering capabilities evaluated against the TyDiQA benchmark dataset under a no-retrieval condition. The central research question is: to what degree can a 9-billion parameter instruction-tuned model that was designed primarily for European languages correctly extract answers from supporting passages when provided with no retrieval augmentation, across typologically diverse languages?</w:t>
      </w:r>
    </w:p>
    <w:p>
      <w:pPr>
        <w:spacing w:before="40" w:after="40"/>
      </w:pPr>
      <w:r>
        <w:t xml:space="preserve"/>
      </w:r>
    </w:p>
    <w:p>
      <w:pPr>
        <w:spacing w:before="60" w:after="100" w:line="300"/>
        <w:jc w:val="both"/>
      </w:pPr>
      <w:r>
        <w:rPr>
          <w:rFonts w:ascii="Arial" w:cs="Arial" w:eastAsia="Arial" w:hAnsi="Arial"/>
          <w:i w:val="false"/>
          <w:iCs w:val="false"/>
          <w:color w:val="111111"/>
          <w:sz w:val="22"/>
          <w:szCs w:val="22"/>
        </w:rPr>
        <w:t xml:space="preserve">The evaluation deliberately excludes any retrieval-augmented generation (RAG) pipeline, meaning the model is given only the question, a contextual passage from the TyDiQA primary_task dataset, and a prompting instruction. There is no vector store, no retrieved chunk ranking, and no document re-ranking. This establishes a clean zero-shot extractive QA baseline against which future RAG-augmented results can be directly compared.</w:t>
      </w:r>
    </w:p>
    <w:p>
      <w:pPr>
        <w:spacing w:before="40" w:after="40"/>
      </w:pPr>
      <w:r>
        <w:t xml:space="preserve"/>
      </w:r>
    </w:p>
    <w:p>
      <w:pPr>
        <w:pStyle w:val="Heading2"/>
        <w:spacing w:before="260" w:after="120"/>
      </w:pPr>
      <w:r>
        <w:rPr>
          <w:rFonts w:ascii="Arial" w:cs="Arial" w:eastAsia="Arial" w:hAnsi="Arial"/>
          <w:b/>
          <w:bCs/>
          <w:color w:val="2E75B6"/>
          <w:sz w:val="28"/>
          <w:szCs w:val="28"/>
        </w:rPr>
        <w:t xml:space="preserve">1.1 Model and Quantisation</w:t>
      </w:r>
    </w:p>
    <w:p>
      <w:pPr>
        <w:spacing w:before="60" w:after="100" w:line="300"/>
        <w:jc w:val="both"/>
      </w:pPr>
      <w:r>
        <w:rPr>
          <w:rFonts w:ascii="Arial" w:cs="Arial" w:eastAsia="Arial" w:hAnsi="Arial"/>
          <w:i w:val="false"/>
          <w:iCs w:val="false"/>
          <w:color w:val="111111"/>
          <w:sz w:val="22"/>
          <w:szCs w:val="22"/>
        </w:rPr>
        <w:t xml:space="preserve">EuroLLM-9B-Instruct is a dense Transformer decoder with Rotary Position Embedding (RoPE) and Grouped-Query Attention (8 KV heads), fine-tuned with instruction data using a ChatML-style chat template. It has a hard sequence limit of 4,096 tokens. For this evaluation the model was loaded in 4-bit NF4 quantisation using bitsandbytes, with double quantisation enabled and float16 compute dtype, reducing memory requirements to approximately 6–7 GB GPU VRAM while maintaining near-full precision inference quality.</w:t>
      </w:r>
    </w:p>
    <w:p>
      <w:pPr>
        <w:spacing w:before="40" w:after="40"/>
      </w:pPr>
      <w:r>
        <w:t xml:space="preserve"/>
      </w:r>
    </w:p>
    <w:p>
      <w:pPr>
        <w:pStyle w:val="Heading2"/>
        <w:spacing w:before="260" w:after="120"/>
      </w:pPr>
      <w:r>
        <w:rPr>
          <w:rFonts w:ascii="Arial" w:cs="Arial" w:eastAsia="Arial" w:hAnsi="Arial"/>
          <w:b/>
          <w:bCs/>
          <w:color w:val="2E75B6"/>
          <w:sz w:val="28"/>
          <w:szCs w:val="28"/>
        </w:rPr>
        <w:t xml:space="preserve">1.2 Dataset</w:t>
      </w:r>
    </w:p>
    <w:p>
      <w:pPr>
        <w:spacing w:before="60" w:after="100" w:line="300"/>
        <w:jc w:val="both"/>
      </w:pPr>
      <w:r>
        <w:rPr>
          <w:rFonts w:ascii="Arial" w:cs="Arial" w:eastAsia="Arial" w:hAnsi="Arial"/>
          <w:i w:val="false"/>
          <w:iCs w:val="false"/>
          <w:color w:val="111111"/>
          <w:sz w:val="22"/>
          <w:szCs w:val="22"/>
        </w:rPr>
        <w:t xml:space="preserve">TyDiQA (primary_task configuration) provides factoid questions in 11 typologically diverse languages, with answers defined as byte-offset spans within full Wikipedia article text (document_plaintext). Only answerable questions (minimal_answers_start_byte ≥ 0) were included. A maximum of 200 samples per language were drawn from the training split by streaming, yielding 2,200 total samples. Reference answers were extracted by slicing UTF-8 bytes at the annotated offsets; the context window fed to the model was 8,000 characters centred on the answer location.</w:t>
      </w:r>
    </w:p>
    <w:p>
      <w:pPr>
        <w:spacing w:before="40" w:after="40"/>
      </w:pPr>
      <w:r>
        <w:t xml:space="preserve"/>
      </w:r>
    </w:p>
    <w:p>
      <w:pPr>
        <w:pStyle w:val="Heading2"/>
        <w:spacing w:before="260" w:after="120"/>
      </w:pPr>
      <w:r>
        <w:rPr>
          <w:rFonts w:ascii="Arial" w:cs="Arial" w:eastAsia="Arial" w:hAnsi="Arial"/>
          <w:b/>
          <w:bCs/>
          <w:color w:val="2E75B6"/>
          <w:sz w:val="28"/>
          <w:szCs w:val="28"/>
        </w:rPr>
        <w:t xml:space="preserve">1.3 Prompting Strategies</w:t>
      </w:r>
    </w:p>
    <w:p>
      <w:pPr>
        <w:spacing w:before="60" w:after="100" w:line="300"/>
        <w:jc w:val="both"/>
      </w:pPr>
      <w:r>
        <w:rPr>
          <w:rFonts w:ascii="Arial" w:cs="Arial" w:eastAsia="Arial" w:hAnsi="Arial"/>
          <w:i w:val="false"/>
          <w:iCs w:val="false"/>
          <w:color w:val="111111"/>
          <w:sz w:val="22"/>
          <w:szCs w:val="22"/>
        </w:rPr>
        <w:t xml:space="preserve">Four prompt formulations were tested to probe how language instruction specificity affects output quality:</w:t>
      </w:r>
    </w:p>
    <w:p>
      <w:pPr>
        <w:pStyle w:val="ListParagraph"/>
        <w:numPr>
          <w:ilvl w:val="0"/>
          <w:numId w:val="2"/>
        </w:numPr>
        <w:spacing w:before="40" w:after="40" w:line="280"/>
      </w:pPr>
      <w:r>
        <w:rPr>
          <w:rFonts w:ascii="Arial" w:cs="Arial" w:eastAsia="Arial" w:hAnsi="Arial"/>
          <w:color w:val="111111"/>
          <w:sz w:val="22"/>
          <w:szCs w:val="22"/>
        </w:rPr>
        <w:t xml:space="preserve">Minimal: A compact instruction naming the target language once with a single prohibition against English.</w:t>
      </w:r>
    </w:p>
    <w:p>
      <w:pPr>
        <w:pStyle w:val="ListParagraph"/>
        <w:numPr>
          <w:ilvl w:val="0"/>
          <w:numId w:val="2"/>
        </w:numPr>
        <w:spacing w:before="40" w:after="40" w:line="280"/>
      </w:pPr>
      <w:r>
        <w:rPr>
          <w:rFonts w:ascii="Arial" w:cs="Arial" w:eastAsia="Arial" w:hAnsi="Arial"/>
          <w:color w:val="111111"/>
          <w:sz w:val="22"/>
          <w:szCs w:val="22"/>
        </w:rPr>
        <w:t xml:space="preserve">Explicit English (Expl. EN): A more explicit two-sentence instruction forbidding English and naming both the language and its native name.</w:t>
      </w:r>
    </w:p>
    <w:p>
      <w:pPr>
        <w:pStyle w:val="ListParagraph"/>
        <w:numPr>
          <w:ilvl w:val="0"/>
          <w:numId w:val="2"/>
        </w:numPr>
        <w:spacing w:before="40" w:after="40" w:line="280"/>
      </w:pPr>
      <w:r>
        <w:rPr>
          <w:rFonts w:ascii="Arial" w:cs="Arial" w:eastAsia="Arial" w:hAnsi="Arial"/>
          <w:color w:val="111111"/>
          <w:sz w:val="22"/>
          <w:szCs w:val="22"/>
        </w:rPr>
        <w:t xml:space="preserve">Explicit Native (Expl. Native): The instruction is framed using the native script name and native script label, making it maximally native-centric.</w:t>
      </w:r>
    </w:p>
    <w:p>
      <w:pPr>
        <w:pStyle w:val="ListParagraph"/>
        <w:numPr>
          <w:ilvl w:val="0"/>
          <w:numId w:val="2"/>
        </w:numPr>
        <w:spacing w:before="40" w:after="40" w:line="280"/>
      </w:pPr>
      <w:r>
        <w:rPr>
          <w:rFonts w:ascii="Arial" w:cs="Arial" w:eastAsia="Arial" w:hAnsi="Arial"/>
          <w:color w:val="111111"/>
          <w:sz w:val="22"/>
          <w:szCs w:val="22"/>
        </w:rPr>
        <w:t xml:space="preserve">Strict: A three-clause, all-caps prohibition specifying language, script, and a double FORBIDDEN qualifier for English and code-switching.</w:t>
      </w:r>
    </w:p>
    <w:p>
      <w:pPr>
        <w:spacing w:before="40" w:after="40"/>
      </w:pPr>
      <w:r>
        <w:t xml:space="preserve"/>
      </w:r>
    </w:p>
    <w:p>
      <w:pPr>
        <w:pStyle w:val="Heading2"/>
        <w:spacing w:before="260" w:after="120"/>
      </w:pPr>
      <w:r>
        <w:rPr>
          <w:rFonts w:ascii="Arial" w:cs="Arial" w:eastAsia="Arial" w:hAnsi="Arial"/>
          <w:b/>
          <w:bCs/>
          <w:color w:val="2E75B6"/>
          <w:sz w:val="28"/>
          <w:szCs w:val="28"/>
        </w:rPr>
        <w:t xml:space="preserve">1.4 Evaluation Metrics</w:t>
      </w:r>
    </w:p>
    <w:p>
      <w:pPr>
        <w:spacing w:before="60" w:after="100" w:line="300"/>
        <w:jc w:val="both"/>
      </w:pPr>
      <w:r>
        <w:rPr>
          <w:rFonts w:ascii="Arial" w:cs="Arial" w:eastAsia="Arial" w:hAnsi="Arial"/>
          <w:i w:val="false"/>
          <w:iCs w:val="false"/>
          <w:color w:val="111111"/>
          <w:sz w:val="22"/>
          <w:szCs w:val="22"/>
        </w:rPr>
        <w:t xml:space="preserve">Six metrics were computed for each (language, strategy) combination across all 200 samples:</w:t>
      </w:r>
    </w:p>
    <w:p>
      <w:pPr>
        <w:pStyle w:val="ListParagraph"/>
        <w:numPr>
          <w:ilvl w:val="0"/>
          <w:numId w:val="2"/>
        </w:numPr>
        <w:spacing w:before="40" w:after="40" w:line="280"/>
      </w:pPr>
      <w:r>
        <w:rPr>
          <w:rFonts w:ascii="Arial" w:cs="Arial" w:eastAsia="Arial" w:hAnsi="Arial"/>
          <w:color w:val="111111"/>
          <w:sz w:val="22"/>
          <w:szCs w:val="22"/>
        </w:rPr>
        <w:t xml:space="preserve">Token-F1 Score: Harmonic mean of unigram precision and recall between the model's answer and the reference answer, computed after language-aware tokenisation (character-level for Japanese, Korean, Thai).</w:t>
      </w:r>
    </w:p>
    <w:p>
      <w:pPr>
        <w:pStyle w:val="ListParagraph"/>
        <w:numPr>
          <w:ilvl w:val="0"/>
          <w:numId w:val="2"/>
        </w:numPr>
        <w:spacing w:before="40" w:after="40" w:line="280"/>
      </w:pPr>
      <w:r>
        <w:rPr>
          <w:rFonts w:ascii="Arial" w:cs="Arial" w:eastAsia="Arial" w:hAnsi="Arial"/>
          <w:color w:val="111111"/>
          <w:sz w:val="22"/>
          <w:szCs w:val="22"/>
        </w:rPr>
        <w:t xml:space="preserve">Exact Match (EM): Binary indicator of whether the normalised prediction exactly equals one of the reference strings.</w:t>
      </w:r>
    </w:p>
    <w:p>
      <w:pPr>
        <w:pStyle w:val="ListParagraph"/>
        <w:numPr>
          <w:ilvl w:val="0"/>
          <w:numId w:val="2"/>
        </w:numPr>
        <w:spacing w:before="40" w:after="40" w:line="280"/>
      </w:pPr>
      <w:r>
        <w:rPr>
          <w:rFonts w:ascii="Arial" w:cs="Arial" w:eastAsia="Arial" w:hAnsi="Arial"/>
          <w:color w:val="111111"/>
          <w:sz w:val="22"/>
          <w:szCs w:val="22"/>
        </w:rPr>
        <w:t xml:space="preserve">BERTScore-F1: Contextual embedding similarity computed with bert-base-multilingual-cased, capturing semantic proximity beyond surface lexical overlap.</w:t>
      </w:r>
    </w:p>
    <w:p>
      <w:pPr>
        <w:pStyle w:val="ListParagraph"/>
        <w:numPr>
          <w:ilvl w:val="0"/>
          <w:numId w:val="2"/>
        </w:numPr>
        <w:spacing w:before="40" w:after="40" w:line="280"/>
      </w:pPr>
      <w:r>
        <w:rPr>
          <w:rFonts w:ascii="Arial" w:cs="Arial" w:eastAsia="Arial" w:hAnsi="Arial"/>
          <w:color w:val="111111"/>
          <w:sz w:val="22"/>
          <w:szCs w:val="22"/>
        </w:rPr>
        <w:t xml:space="preserve">Language Match Rate (LMR): Fraction of responses containing at least one character from the expected Unicode script range.</w:t>
      </w:r>
    </w:p>
    <w:p>
      <w:pPr>
        <w:pStyle w:val="ListParagraph"/>
        <w:numPr>
          <w:ilvl w:val="0"/>
          <w:numId w:val="2"/>
        </w:numPr>
        <w:spacing w:before="40" w:after="40" w:line="280"/>
      </w:pPr>
      <w:r>
        <w:rPr>
          <w:rFonts w:ascii="Arial" w:cs="Arial" w:eastAsia="Arial" w:hAnsi="Arial"/>
          <w:color w:val="111111"/>
          <w:sz w:val="22"/>
          <w:szCs w:val="22"/>
        </w:rPr>
        <w:t xml:space="preserve">Script Consistency (SC): Mean fraction of characters in each response that belong to the expected script, capturing partial code-switching.</w:t>
      </w:r>
    </w:p>
    <w:p>
      <w:pPr>
        <w:pStyle w:val="ListParagraph"/>
        <w:numPr>
          <w:ilvl w:val="0"/>
          <w:numId w:val="2"/>
        </w:numPr>
        <w:spacing w:before="40" w:after="40" w:line="280"/>
      </w:pPr>
      <w:r>
        <w:rPr>
          <w:rFonts w:ascii="Arial" w:cs="Arial" w:eastAsia="Arial" w:hAnsi="Arial"/>
          <w:color w:val="111111"/>
          <w:sz w:val="22"/>
          <w:szCs w:val="22"/>
        </w:rPr>
        <w:t xml:space="preserve">Hallucination Rate: Fraction of answer tokens not present in the provided evidence passage, approximating unsupported generation.</w:t>
      </w:r>
    </w:p>
    <w:p>
      <w:pPr>
        <w:pStyle w:val="ListParagraph"/>
        <w:numPr>
          <w:ilvl w:val="0"/>
          <w:numId w:val="2"/>
        </w:numPr>
        <w:spacing w:before="40" w:after="40" w:line="280"/>
      </w:pPr>
      <w:r>
        <w:rPr>
          <w:rFonts w:ascii="Arial" w:cs="Arial" w:eastAsia="Arial" w:hAnsi="Arial"/>
          <w:color w:val="111111"/>
          <w:sz w:val="22"/>
          <w:szCs w:val="22"/>
        </w:rPr>
        <w:t xml:space="preserve">Evidence Usage Rate: Complement of hallucination rate — fraction of answer tokens grounded in the context.</w:t>
      </w:r>
    </w:p>
    <w:p>
      <w:pPr>
        <w:spacing w:before="40" w:after="40"/>
      </w:pPr>
      <w:r>
        <w:t xml:space="preserve"/>
      </w:r>
    </w:p>
    <w:p>
      <w:pPr>
        <w:spacing w:before="60" w:after="100" w:line="300"/>
        <w:jc w:val="both"/>
      </w:pPr>
      <w:r>
        <w:rPr>
          <w:rFonts w:ascii="Arial" w:cs="Arial" w:eastAsia="Arial" w:hAnsi="Arial"/>
          <w:i w:val="false"/>
          <w:iCs w:val="false"/>
          <w:color w:val="111111"/>
          <w:sz w:val="22"/>
          <w:szCs w:val="22"/>
        </w:rPr>
        <w:t xml:space="preserve">Bootstrap 95% confidence intervals (N=1,000 resamples) were computed for F1 and EM. Paired t-tests with Bonferroni correction were applied across strategy pairs for each metric.</w:t>
      </w:r>
    </w:p>
    <w:p>
      <w:r>
        <w:br w:type="page"/>
      </w:r>
    </w:p>
    <w:p>
      <w:pPr>
        <w:pStyle w:val="Heading1"/>
        <w:pBdr>
          <w:bottom w:val="single" w:color="2E75B6" w:sz="6" w:space="1"/>
        </w:pBdr>
        <w:spacing w:before="320" w:after="160"/>
      </w:pPr>
      <w:r>
        <w:rPr>
          <w:rFonts w:ascii="Arial" w:cs="Arial" w:eastAsia="Arial" w:hAnsi="Arial"/>
          <w:b/>
          <w:bCs/>
          <w:color w:val="1E3A5F"/>
          <w:sz w:val="36"/>
          <w:szCs w:val="36"/>
        </w:rPr>
        <w:t xml:space="preserve">2. Overall Performance — The Core Picture</w:t>
      </w:r>
    </w:p>
    <w:p>
      <w:pPr>
        <w:pBdr>
          <w:left w:val="thick" w:color="2E75B6" w:sz="12"/>
        </w:pBdr>
        <w:shd w:fill="FADBD8" w:val="clear"/>
        <w:spacing w:before="80" w:after="80" w:line="280"/>
        <w:ind w:left="360" w:right="360"/>
      </w:pPr>
      <w:r>
        <w:rPr>
          <w:rFonts w:ascii="Arial" w:cs="Arial" w:eastAsia="Arial" w:hAnsi="Arial"/>
          <w:b/>
          <w:bCs/>
          <w:color w:val="C0392B"/>
          <w:sz w:val="22"/>
          <w:szCs w:val="22"/>
        </w:rPr>
        <w:t xml:space="preserve">Central Finding: Without RAG, EuroLLM-9B-Instruct achieves a mean token-F1 of 0.073 and 0.00 exact match across all 44 strategy-language cells. The model generates fluent, grounded, well-structured responses in the correct language — but consistently fails to extract short, precise spans matching the reference answers.</w:t>
      </w:r>
    </w:p>
    <w:p>
      <w:pPr>
        <w:spacing w:before="40" w:after="40"/>
      </w:pPr>
      <w:r>
        <w:t xml:space="preserve"/>
      </w:r>
    </w:p>
    <w:p>
      <w:pPr>
        <w:spacing w:before="60" w:after="100" w:line="300"/>
        <w:jc w:val="both"/>
      </w:pPr>
      <w:r>
        <w:rPr>
          <w:rFonts w:ascii="Arial" w:cs="Arial" w:eastAsia="Arial" w:hAnsi="Arial"/>
          <w:i w:val="false"/>
          <w:iCs w:val="false"/>
          <w:color w:val="111111"/>
          <w:sz w:val="22"/>
          <w:szCs w:val="22"/>
        </w:rPr>
        <w:t xml:space="preserve">The most striking result from this evaluation is the complete absence of exact matches (EM = 0.00 for all 44 cells). This is not a bug or a metric artefact; it reflects a fundamental mismatch between the model's generative behaviour and the span-extraction requirement of TyDiQA. The model has been fine-tuned to produce complete, explanatory answers rather than terse extractive fragments. When asked a factoid question about, for example, the year of an event, the model will typically produce a full sentence embedding the answer, whereas TyDiQA's reference is a bare byte-span such as '1995'. This verbosity prevents any exact match.</w:t>
      </w:r>
    </w:p>
    <w:p>
      <w:pPr>
        <w:spacing w:before="40" w:after="40"/>
      </w:pPr>
      <w:r>
        <w:t xml:space="preserve"/>
      </w:r>
    </w:p>
    <w:p>
      <w:pPr>
        <w:spacing w:before="60" w:after="100" w:line="300"/>
        <w:jc w:val="both"/>
      </w:pPr>
      <w:r>
        <w:rPr>
          <w:rFonts w:ascii="Arial" w:cs="Arial" w:eastAsia="Arial" w:hAnsi="Arial"/>
          <w:i w:val="false"/>
          <w:iCs w:val="false"/>
          <w:color w:val="111111"/>
          <w:sz w:val="22"/>
          <w:szCs w:val="22"/>
        </w:rPr>
        <w:t xml:space="preserve">Token-F1 is more informative. The overall mean across all strategies and languages is 0.073, ranging from Swahili's 0.023 (worst) to Thai's 0.187 (best). BERTScore-F1 is much higher, averaging 0.575 across all cells, suggesting that the model's semantic content is meaningfully aligned with the references even when surface token overlap is low.</w:t>
      </w:r>
    </w:p>
    <w:p>
      <w:pPr>
        <w:spacing w:before="40" w:after="40"/>
      </w:pPr>
      <w:r>
        <w:t xml:space="preserve"/>
      </w:r>
    </w:p>
    <w:p>
      <w:pPr>
        <w:pStyle w:val="Heading2"/>
        <w:spacing w:before="260" w:after="120"/>
      </w:pPr>
      <w:r>
        <w:rPr>
          <w:rFonts w:ascii="Arial" w:cs="Arial" w:eastAsia="Arial" w:hAnsi="Arial"/>
          <w:b/>
          <w:bCs/>
          <w:color w:val="2E75B6"/>
          <w:sz w:val="28"/>
          <w:szCs w:val="28"/>
        </w:rPr>
        <w:t xml:space="preserve">2.1 Token-F1: Full Results Table</w:t>
      </w:r>
    </w:p>
    <w:p>
      <w:pPr>
        <w:spacing w:before="40" w:after="140"/>
        <w:jc w:val="center"/>
      </w:pPr>
      <w:r>
        <w:rPr>
          <w:rFonts w:ascii="Arial" w:cs="Arial" w:eastAsia="Arial" w:hAnsi="Arial"/>
          <w:i/>
          <w:iCs/>
          <w:color w:val="717D7E"/>
          <w:sz w:val="18"/>
          <w:szCs w:val="18"/>
        </w:rPr>
        <w:t xml:space="preserve">Table 1. Token-F1 Score by Language and Prompting Strategy (200 samples per cell). Green cells indicate the best strategy per language.</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300"/>
        <w:gridCol w:w="1200"/>
        <w:gridCol w:w="1100"/>
      </w:tblGrid>
      <w:tr>
        <w:trPr>
          <w:tblHeader/>
        </w:trPr>
        <w:tc>
          <w:tcPr>
            <w:tcW w:type="dxa" w:w="1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Language</w:t>
            </w:r>
          </w:p>
        </w:tc>
        <w:tc>
          <w:tcPr>
            <w:tcW w:type="dxa" w:w="12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Minimal</w:t>
            </w:r>
          </w:p>
        </w:tc>
        <w:tc>
          <w:tcPr>
            <w:tcW w:type="dxa" w:w="12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Expl. EN</w:t>
            </w:r>
          </w:p>
        </w:tc>
        <w:tc>
          <w:tcPr>
            <w:tcW w:type="dxa" w:w="13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Expl. Native</w:t>
            </w:r>
          </w:p>
        </w:tc>
        <w:tc>
          <w:tcPr>
            <w:tcW w:type="dxa" w:w="12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Strict</w:t>
            </w:r>
          </w:p>
        </w:tc>
        <w:tc>
          <w:tcPr>
            <w:tcW w:type="dxa" w:w="11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Mean</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left"/>
            </w:pPr>
            <w:r>
              <w:rPr>
                <w:rFonts w:ascii="Arial" w:cs="Arial" w:eastAsia="Arial" w:hAnsi="Arial"/>
                <w:b/>
                <w:bCs/>
                <w:color w:val="111111"/>
                <w:sz w:val="20"/>
                <w:szCs w:val="20"/>
              </w:rPr>
              <w:t xml:space="preserve">Arabic</w:t>
            </w:r>
          </w:p>
        </w:tc>
        <w:tc>
          <w:tcPr>
            <w:tcW w:type="dxa" w:w="1200"/>
            <w:tcBorders>
              <w:top w:val="single" w:color="DDDDDD" w:sz="1"/>
              <w:left w:val="single" w:color="DDDDDD" w:sz="1"/>
              <w:bottom w:val="single" w:color="DDDDDD" w:sz="1"/>
              <w:right w:val="single" w:color="DDDDDD" w:sz="1"/>
            </w:tcBorders>
            <w:shd w:fill="D5F5E3"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0.0554</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0.0466</w:t>
            </w:r>
          </w:p>
        </w:tc>
        <w:tc>
          <w:tcPr>
            <w:tcW w:type="dxa" w:w="13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0.0546</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0.0494</w:t>
            </w:r>
          </w:p>
        </w:tc>
        <w:tc>
          <w:tcPr>
            <w:tcW w:type="dxa" w:w="11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0.0515</w:t>
            </w:r>
          </w:p>
        </w:tc>
      </w:tr>
      <w:tr>
        <w:tc>
          <w:tcPr>
            <w:tcW w:type="dxa" w:w="16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left"/>
            </w:pPr>
            <w:r>
              <w:rPr>
                <w:rFonts w:ascii="Arial" w:cs="Arial" w:eastAsia="Arial" w:hAnsi="Arial"/>
                <w:b/>
                <w:bCs/>
                <w:color w:val="111111"/>
                <w:sz w:val="20"/>
                <w:szCs w:val="20"/>
              </w:rPr>
              <w:t xml:space="preserve">Bengali</w:t>
            </w:r>
          </w:p>
        </w:tc>
        <w:tc>
          <w:tcPr>
            <w:tcW w:type="dxa" w:w="12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0.1033</w:t>
            </w:r>
          </w:p>
        </w:tc>
        <w:tc>
          <w:tcPr>
            <w:tcW w:type="dxa" w:w="1200"/>
            <w:tcBorders>
              <w:top w:val="single" w:color="DDDDDD" w:sz="1"/>
              <w:left w:val="single" w:color="DDDDDD" w:sz="1"/>
              <w:bottom w:val="single" w:color="DDDDDD" w:sz="1"/>
              <w:right w:val="single" w:color="DDDDDD" w:sz="1"/>
            </w:tcBorders>
            <w:shd w:fill="D5F5E3"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0.1092</w:t>
            </w:r>
          </w:p>
        </w:tc>
        <w:tc>
          <w:tcPr>
            <w:tcW w:type="dxa" w:w="1300"/>
            <w:tcBorders>
              <w:top w:val="single" w:color="DDDDDD" w:sz="1"/>
              <w:left w:val="single" w:color="DDDDDD" w:sz="1"/>
              <w:bottom w:val="single" w:color="DDDDDD" w:sz="1"/>
              <w:right w:val="single" w:color="DDDDDD" w:sz="1"/>
            </w:tcBorders>
            <w:shd w:fill="D5F5E3"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0.1092</w:t>
            </w:r>
          </w:p>
        </w:tc>
        <w:tc>
          <w:tcPr>
            <w:tcW w:type="dxa" w:w="12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0.1033</w:t>
            </w:r>
          </w:p>
        </w:tc>
        <w:tc>
          <w:tcPr>
            <w:tcW w:type="dxa" w:w="11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0.1063</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left"/>
            </w:pPr>
            <w:r>
              <w:rPr>
                <w:rFonts w:ascii="Arial" w:cs="Arial" w:eastAsia="Arial" w:hAnsi="Arial"/>
                <w:b/>
                <w:bCs/>
                <w:color w:val="111111"/>
                <w:sz w:val="20"/>
                <w:szCs w:val="20"/>
              </w:rPr>
              <w:t xml:space="preserve">English</w:t>
            </w:r>
          </w:p>
        </w:tc>
        <w:tc>
          <w:tcPr>
            <w:tcW w:type="dxa" w:w="1200"/>
            <w:tcBorders>
              <w:top w:val="single" w:color="DDDDDD" w:sz="1"/>
              <w:left w:val="single" w:color="DDDDDD" w:sz="1"/>
              <w:bottom w:val="single" w:color="DDDDDD" w:sz="1"/>
              <w:right w:val="single" w:color="DDDDDD" w:sz="1"/>
            </w:tcBorders>
            <w:shd w:fill="D5F5E3"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0.0554</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0.0465</w:t>
            </w:r>
          </w:p>
        </w:tc>
        <w:tc>
          <w:tcPr>
            <w:tcW w:type="dxa" w:w="13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0.0528</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0.0546</w:t>
            </w:r>
          </w:p>
        </w:tc>
        <w:tc>
          <w:tcPr>
            <w:tcW w:type="dxa" w:w="11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0.0523</w:t>
            </w:r>
          </w:p>
        </w:tc>
      </w:tr>
      <w:tr>
        <w:tc>
          <w:tcPr>
            <w:tcW w:type="dxa" w:w="16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left"/>
            </w:pPr>
            <w:r>
              <w:rPr>
                <w:rFonts w:ascii="Arial" w:cs="Arial" w:eastAsia="Arial" w:hAnsi="Arial"/>
                <w:b/>
                <w:bCs/>
                <w:color w:val="111111"/>
                <w:sz w:val="20"/>
                <w:szCs w:val="20"/>
              </w:rPr>
              <w:t xml:space="preserve">Finnish</w:t>
            </w:r>
          </w:p>
        </w:tc>
        <w:tc>
          <w:tcPr>
            <w:tcW w:type="dxa" w:w="1200"/>
            <w:tcBorders>
              <w:top w:val="single" w:color="DDDDDD" w:sz="1"/>
              <w:left w:val="single" w:color="DDDDDD" w:sz="1"/>
              <w:bottom w:val="single" w:color="DDDDDD" w:sz="1"/>
              <w:right w:val="single" w:color="DDDDDD" w:sz="1"/>
            </w:tcBorders>
            <w:shd w:fill="D5F5E3"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0.0706</w:t>
            </w:r>
          </w:p>
        </w:tc>
        <w:tc>
          <w:tcPr>
            <w:tcW w:type="dxa" w:w="12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0.0607</w:t>
            </w:r>
          </w:p>
        </w:tc>
        <w:tc>
          <w:tcPr>
            <w:tcW w:type="dxa" w:w="13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0.0697</w:t>
            </w:r>
          </w:p>
        </w:tc>
        <w:tc>
          <w:tcPr>
            <w:tcW w:type="dxa" w:w="12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0.0632</w:t>
            </w:r>
          </w:p>
        </w:tc>
        <w:tc>
          <w:tcPr>
            <w:tcW w:type="dxa" w:w="11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0.0660</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left"/>
            </w:pPr>
            <w:r>
              <w:rPr>
                <w:rFonts w:ascii="Arial" w:cs="Arial" w:eastAsia="Arial" w:hAnsi="Arial"/>
                <w:b/>
                <w:bCs/>
                <w:color w:val="111111"/>
                <w:sz w:val="20"/>
                <w:szCs w:val="20"/>
              </w:rPr>
              <w:t xml:space="preserve">Indonesian</w:t>
            </w:r>
          </w:p>
        </w:tc>
        <w:tc>
          <w:tcPr>
            <w:tcW w:type="dxa" w:w="1200"/>
            <w:tcBorders>
              <w:top w:val="single" w:color="DDDDDD" w:sz="1"/>
              <w:left w:val="single" w:color="DDDDDD" w:sz="1"/>
              <w:bottom w:val="single" w:color="DDDDDD" w:sz="1"/>
              <w:right w:val="single" w:color="DDDDDD" w:sz="1"/>
            </w:tcBorders>
            <w:shd w:fill="D5F5E3"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0.0621</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0.0564</w:t>
            </w:r>
          </w:p>
        </w:tc>
        <w:tc>
          <w:tcPr>
            <w:tcW w:type="dxa" w:w="13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0.0592</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0.0521</w:t>
            </w:r>
          </w:p>
        </w:tc>
        <w:tc>
          <w:tcPr>
            <w:tcW w:type="dxa" w:w="11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0.0575</w:t>
            </w:r>
          </w:p>
        </w:tc>
      </w:tr>
      <w:tr>
        <w:tc>
          <w:tcPr>
            <w:tcW w:type="dxa" w:w="16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left"/>
            </w:pPr>
            <w:r>
              <w:rPr>
                <w:rFonts w:ascii="Arial" w:cs="Arial" w:eastAsia="Arial" w:hAnsi="Arial"/>
                <w:b/>
                <w:bCs/>
                <w:color w:val="111111"/>
                <w:sz w:val="20"/>
                <w:szCs w:val="20"/>
              </w:rPr>
              <w:t xml:space="preserve">Japanese</w:t>
            </w:r>
          </w:p>
        </w:tc>
        <w:tc>
          <w:tcPr>
            <w:tcW w:type="dxa" w:w="12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0.0562</w:t>
            </w:r>
          </w:p>
        </w:tc>
        <w:tc>
          <w:tcPr>
            <w:tcW w:type="dxa" w:w="12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0.0547</w:t>
            </w:r>
          </w:p>
        </w:tc>
        <w:tc>
          <w:tcPr>
            <w:tcW w:type="dxa" w:w="13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0.0556</w:t>
            </w:r>
          </w:p>
        </w:tc>
        <w:tc>
          <w:tcPr>
            <w:tcW w:type="dxa" w:w="1200"/>
            <w:tcBorders>
              <w:top w:val="single" w:color="DDDDDD" w:sz="1"/>
              <w:left w:val="single" w:color="DDDDDD" w:sz="1"/>
              <w:bottom w:val="single" w:color="DDDDDD" w:sz="1"/>
              <w:right w:val="single" w:color="DDDDDD" w:sz="1"/>
            </w:tcBorders>
            <w:shd w:fill="D5F5E3"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0.0591</w:t>
            </w:r>
          </w:p>
        </w:tc>
        <w:tc>
          <w:tcPr>
            <w:tcW w:type="dxa" w:w="11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0.0564</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left"/>
            </w:pPr>
            <w:r>
              <w:rPr>
                <w:rFonts w:ascii="Arial" w:cs="Arial" w:eastAsia="Arial" w:hAnsi="Arial"/>
                <w:b/>
                <w:bCs/>
                <w:color w:val="111111"/>
                <w:sz w:val="20"/>
                <w:szCs w:val="20"/>
              </w:rPr>
              <w:t xml:space="preserve">Korean</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0.0482</w:t>
            </w:r>
          </w:p>
        </w:tc>
        <w:tc>
          <w:tcPr>
            <w:tcW w:type="dxa" w:w="1200"/>
            <w:tcBorders>
              <w:top w:val="single" w:color="DDDDDD" w:sz="1"/>
              <w:left w:val="single" w:color="DDDDDD" w:sz="1"/>
              <w:bottom w:val="single" w:color="DDDDDD" w:sz="1"/>
              <w:right w:val="single" w:color="DDDDDD" w:sz="1"/>
            </w:tcBorders>
            <w:shd w:fill="D5F5E3"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0.0499</w:t>
            </w:r>
          </w:p>
        </w:tc>
        <w:tc>
          <w:tcPr>
            <w:tcW w:type="dxa" w:w="1300"/>
            <w:tcBorders>
              <w:top w:val="single" w:color="DDDDDD" w:sz="1"/>
              <w:left w:val="single" w:color="DDDDDD" w:sz="1"/>
              <w:bottom w:val="single" w:color="DDDDDD" w:sz="1"/>
              <w:right w:val="single" w:color="DDDDDD" w:sz="1"/>
            </w:tcBorders>
            <w:shd w:fill="D5F5E3"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0.0499</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0.0464</w:t>
            </w:r>
          </w:p>
        </w:tc>
        <w:tc>
          <w:tcPr>
            <w:tcW w:type="dxa" w:w="11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0.0486</w:t>
            </w:r>
          </w:p>
        </w:tc>
      </w:tr>
      <w:tr>
        <w:tc>
          <w:tcPr>
            <w:tcW w:type="dxa" w:w="16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left"/>
            </w:pPr>
            <w:r>
              <w:rPr>
                <w:rFonts w:ascii="Arial" w:cs="Arial" w:eastAsia="Arial" w:hAnsi="Arial"/>
                <w:b/>
                <w:bCs/>
                <w:color w:val="111111"/>
                <w:sz w:val="20"/>
                <w:szCs w:val="20"/>
              </w:rPr>
              <w:t xml:space="preserve">Russian</w:t>
            </w:r>
          </w:p>
        </w:tc>
        <w:tc>
          <w:tcPr>
            <w:tcW w:type="dxa" w:w="12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0.0518</w:t>
            </w:r>
          </w:p>
        </w:tc>
        <w:tc>
          <w:tcPr>
            <w:tcW w:type="dxa" w:w="12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0.0500</w:t>
            </w:r>
          </w:p>
        </w:tc>
        <w:tc>
          <w:tcPr>
            <w:tcW w:type="dxa" w:w="1300"/>
            <w:tcBorders>
              <w:top w:val="single" w:color="DDDDDD" w:sz="1"/>
              <w:left w:val="single" w:color="DDDDDD" w:sz="1"/>
              <w:bottom w:val="single" w:color="DDDDDD" w:sz="1"/>
              <w:right w:val="single" w:color="DDDDDD" w:sz="1"/>
            </w:tcBorders>
            <w:shd w:fill="D5F5E3"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0.0589</w:t>
            </w:r>
          </w:p>
        </w:tc>
        <w:tc>
          <w:tcPr>
            <w:tcW w:type="dxa" w:w="12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0.0503</w:t>
            </w:r>
          </w:p>
        </w:tc>
        <w:tc>
          <w:tcPr>
            <w:tcW w:type="dxa" w:w="11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0.0528</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left"/>
            </w:pPr>
            <w:r>
              <w:rPr>
                <w:rFonts w:ascii="Arial" w:cs="Arial" w:eastAsia="Arial" w:hAnsi="Arial"/>
                <w:b/>
                <w:bCs/>
                <w:color w:val="111111"/>
                <w:sz w:val="20"/>
                <w:szCs w:val="20"/>
              </w:rPr>
              <w:t xml:space="preserve">Swahili</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0.0223</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0.0235</w:t>
            </w:r>
          </w:p>
        </w:tc>
        <w:tc>
          <w:tcPr>
            <w:tcW w:type="dxa" w:w="13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0.0224</w:t>
            </w:r>
          </w:p>
        </w:tc>
        <w:tc>
          <w:tcPr>
            <w:tcW w:type="dxa" w:w="1200"/>
            <w:tcBorders>
              <w:top w:val="single" w:color="DDDDDD" w:sz="1"/>
              <w:left w:val="single" w:color="DDDDDD" w:sz="1"/>
              <w:bottom w:val="single" w:color="DDDDDD" w:sz="1"/>
              <w:right w:val="single" w:color="DDDDDD" w:sz="1"/>
            </w:tcBorders>
            <w:shd w:fill="D5F5E3"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0.0250</w:t>
            </w:r>
          </w:p>
        </w:tc>
        <w:tc>
          <w:tcPr>
            <w:tcW w:type="dxa" w:w="11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0.0233</w:t>
            </w:r>
          </w:p>
        </w:tc>
      </w:tr>
      <w:tr>
        <w:tc>
          <w:tcPr>
            <w:tcW w:type="dxa" w:w="16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left"/>
            </w:pPr>
            <w:r>
              <w:rPr>
                <w:rFonts w:ascii="Arial" w:cs="Arial" w:eastAsia="Arial" w:hAnsi="Arial"/>
                <w:b/>
                <w:bCs/>
                <w:color w:val="111111"/>
                <w:sz w:val="20"/>
                <w:szCs w:val="20"/>
              </w:rPr>
              <w:t xml:space="preserve">Telugu</w:t>
            </w:r>
          </w:p>
        </w:tc>
        <w:tc>
          <w:tcPr>
            <w:tcW w:type="dxa" w:w="1200"/>
            <w:tcBorders>
              <w:top w:val="single" w:color="DDDDDD" w:sz="1"/>
              <w:left w:val="single" w:color="DDDDDD" w:sz="1"/>
              <w:bottom w:val="single" w:color="DDDDDD" w:sz="1"/>
              <w:right w:val="single" w:color="DDDDDD" w:sz="1"/>
            </w:tcBorders>
            <w:shd w:fill="D5F5E3"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0.1058</w:t>
            </w:r>
          </w:p>
        </w:tc>
        <w:tc>
          <w:tcPr>
            <w:tcW w:type="dxa" w:w="12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0.0984</w:t>
            </w:r>
          </w:p>
        </w:tc>
        <w:tc>
          <w:tcPr>
            <w:tcW w:type="dxa" w:w="13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0.0981</w:t>
            </w:r>
          </w:p>
        </w:tc>
        <w:tc>
          <w:tcPr>
            <w:tcW w:type="dxa" w:w="12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0.0979</w:t>
            </w:r>
          </w:p>
        </w:tc>
        <w:tc>
          <w:tcPr>
            <w:tcW w:type="dxa" w:w="11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0.1001</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left"/>
            </w:pPr>
            <w:r>
              <w:rPr>
                <w:rFonts w:ascii="Arial" w:cs="Arial" w:eastAsia="Arial" w:hAnsi="Arial"/>
                <w:b/>
                <w:bCs/>
                <w:color w:val="111111"/>
                <w:sz w:val="20"/>
                <w:szCs w:val="20"/>
              </w:rPr>
              <w:t xml:space="preserve">Thai</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0.1862</w:t>
            </w:r>
          </w:p>
        </w:tc>
        <w:tc>
          <w:tcPr>
            <w:tcW w:type="dxa" w:w="1200"/>
            <w:tcBorders>
              <w:top w:val="single" w:color="DDDDDD" w:sz="1"/>
              <w:left w:val="single" w:color="DDDDDD" w:sz="1"/>
              <w:bottom w:val="single" w:color="DDDDDD" w:sz="1"/>
              <w:right w:val="single" w:color="DDDDDD" w:sz="1"/>
            </w:tcBorders>
            <w:shd w:fill="D5F5E3"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0.1895</w:t>
            </w:r>
          </w:p>
        </w:tc>
        <w:tc>
          <w:tcPr>
            <w:tcW w:type="dxa" w:w="13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0.1854</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0.1756</w:t>
            </w:r>
          </w:p>
        </w:tc>
        <w:tc>
          <w:tcPr>
            <w:tcW w:type="dxa" w:w="11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0.1842</w:t>
            </w:r>
          </w:p>
        </w:tc>
      </w:tr>
      <w:tr>
        <w:tc>
          <w:tcPr>
            <w:tcW w:type="dxa" w:w="1600"/>
            <w:tcBorders>
              <w:top w:val="single" w:color="2E75B6" w:sz="1"/>
              <w:left w:val="single" w:color="2E75B6" w:sz="1"/>
              <w:bottom w:val="single" w:color="2E75B6" w:sz="1"/>
              <w:right w:val="single" w:color="2E75B6" w:sz="1"/>
            </w:tcBorders>
            <w:shd w:fill="1E3A5F" w:val="clear"/>
            <w:tcMar>
              <w:top w:type="dxa" w:w="70"/>
              <w:left w:type="dxa" w:w="120"/>
              <w:bottom w:type="dxa" w:w="70"/>
              <w:right w:type="dxa" w:w="120"/>
            </w:tcMar>
          </w:tcPr>
          <w:p>
            <w:pPr>
              <w:jc w:val="left"/>
            </w:pPr>
            <w:r>
              <w:rPr>
                <w:rFonts w:ascii="Arial" w:cs="Arial" w:eastAsia="Arial" w:hAnsi="Arial"/>
                <w:b/>
                <w:bCs/>
                <w:color w:val="FFFFFF"/>
                <w:sz w:val="20"/>
                <w:szCs w:val="20"/>
              </w:rPr>
              <w:t xml:space="preserve">Mean</w:t>
            </w:r>
          </w:p>
        </w:tc>
        <w:tc>
          <w:tcPr>
            <w:tcW w:type="dxa" w:w="1200"/>
            <w:tcBorders>
              <w:top w:val="single" w:color="2E75B6" w:sz="1"/>
              <w:left w:val="single" w:color="2E75B6" w:sz="1"/>
              <w:bottom w:val="single" w:color="2E75B6" w:sz="1"/>
              <w:right w:val="single" w:color="2E75B6" w:sz="1"/>
            </w:tcBorders>
            <w:shd w:fill="1E3A5F" w:val="clear"/>
            <w:tcMar>
              <w:top w:type="dxa" w:w="70"/>
              <w:left w:type="dxa" w:w="120"/>
              <w:bottom w:type="dxa" w:w="70"/>
              <w:right w:type="dxa" w:w="120"/>
            </w:tcMar>
          </w:tcPr>
          <w:p>
            <w:pPr>
              <w:jc w:val="center"/>
            </w:pPr>
            <w:r>
              <w:rPr>
                <w:rFonts w:ascii="Arial" w:cs="Arial" w:eastAsia="Arial" w:hAnsi="Arial"/>
                <w:b/>
                <w:bCs/>
                <w:color w:val="FFFFFF"/>
                <w:sz w:val="20"/>
                <w:szCs w:val="20"/>
              </w:rPr>
              <w:t xml:space="preserve">0.0743</w:t>
            </w:r>
          </w:p>
        </w:tc>
        <w:tc>
          <w:tcPr>
            <w:tcW w:type="dxa" w:w="1200"/>
            <w:tcBorders>
              <w:top w:val="single" w:color="2E75B6" w:sz="1"/>
              <w:left w:val="single" w:color="2E75B6" w:sz="1"/>
              <w:bottom w:val="single" w:color="2E75B6" w:sz="1"/>
              <w:right w:val="single" w:color="2E75B6" w:sz="1"/>
            </w:tcBorders>
            <w:shd w:fill="1E3A5F" w:val="clear"/>
            <w:tcMar>
              <w:top w:type="dxa" w:w="70"/>
              <w:left w:type="dxa" w:w="120"/>
              <w:bottom w:type="dxa" w:w="70"/>
              <w:right w:type="dxa" w:w="120"/>
            </w:tcMar>
          </w:tcPr>
          <w:p>
            <w:pPr>
              <w:jc w:val="center"/>
            </w:pPr>
            <w:r>
              <w:rPr>
                <w:rFonts w:ascii="Arial" w:cs="Arial" w:eastAsia="Arial" w:hAnsi="Arial"/>
                <w:b/>
                <w:bCs/>
                <w:color w:val="FFFFFF"/>
                <w:sz w:val="20"/>
                <w:szCs w:val="20"/>
              </w:rPr>
              <w:t xml:space="preserve">0.0714</w:t>
            </w:r>
          </w:p>
        </w:tc>
        <w:tc>
          <w:tcPr>
            <w:tcW w:type="dxa" w:w="1300"/>
            <w:tcBorders>
              <w:top w:val="single" w:color="2E75B6" w:sz="1"/>
              <w:left w:val="single" w:color="2E75B6" w:sz="1"/>
              <w:bottom w:val="single" w:color="2E75B6" w:sz="1"/>
              <w:right w:val="single" w:color="2E75B6" w:sz="1"/>
            </w:tcBorders>
            <w:shd w:fill="1E3A5F" w:val="clear"/>
            <w:tcMar>
              <w:top w:type="dxa" w:w="70"/>
              <w:left w:type="dxa" w:w="120"/>
              <w:bottom w:type="dxa" w:w="70"/>
              <w:right w:type="dxa" w:w="120"/>
            </w:tcMar>
          </w:tcPr>
          <w:p>
            <w:pPr>
              <w:jc w:val="center"/>
            </w:pPr>
            <w:r>
              <w:rPr>
                <w:rFonts w:ascii="Arial" w:cs="Arial" w:eastAsia="Arial" w:hAnsi="Arial"/>
                <w:b/>
                <w:bCs/>
                <w:color w:val="FFFFFF"/>
                <w:sz w:val="20"/>
                <w:szCs w:val="20"/>
              </w:rPr>
              <w:t xml:space="preserve">0.0742</w:t>
            </w:r>
          </w:p>
        </w:tc>
        <w:tc>
          <w:tcPr>
            <w:tcW w:type="dxa" w:w="1200"/>
            <w:tcBorders>
              <w:top w:val="single" w:color="2E75B6" w:sz="1"/>
              <w:left w:val="single" w:color="2E75B6" w:sz="1"/>
              <w:bottom w:val="single" w:color="2E75B6" w:sz="1"/>
              <w:right w:val="single" w:color="2E75B6" w:sz="1"/>
            </w:tcBorders>
            <w:shd w:fill="1E3A5F" w:val="clear"/>
            <w:tcMar>
              <w:top w:type="dxa" w:w="70"/>
              <w:left w:type="dxa" w:w="120"/>
              <w:bottom w:type="dxa" w:w="70"/>
              <w:right w:type="dxa" w:w="120"/>
            </w:tcMar>
          </w:tcPr>
          <w:p>
            <w:pPr>
              <w:jc w:val="center"/>
            </w:pPr>
            <w:r>
              <w:rPr>
                <w:rFonts w:ascii="Arial" w:cs="Arial" w:eastAsia="Arial" w:hAnsi="Arial"/>
                <w:b/>
                <w:bCs/>
                <w:color w:val="FFFFFF"/>
                <w:sz w:val="20"/>
                <w:szCs w:val="20"/>
              </w:rPr>
              <w:t xml:space="preserve">0.0706</w:t>
            </w:r>
          </w:p>
        </w:tc>
        <w:tc>
          <w:tcPr>
            <w:tcW w:type="dxa" w:w="1100"/>
            <w:tcBorders>
              <w:top w:val="single" w:color="2E75B6" w:sz="1"/>
              <w:left w:val="single" w:color="2E75B6" w:sz="1"/>
              <w:bottom w:val="single" w:color="2E75B6" w:sz="1"/>
              <w:right w:val="single" w:color="2E75B6" w:sz="1"/>
            </w:tcBorders>
            <w:shd w:fill="1E3A5F" w:val="clear"/>
            <w:tcMar>
              <w:top w:type="dxa" w:w="70"/>
              <w:left w:type="dxa" w:w="120"/>
              <w:bottom w:type="dxa" w:w="70"/>
              <w:right w:type="dxa" w:w="120"/>
            </w:tcMar>
          </w:tcPr>
          <w:p>
            <w:pPr>
              <w:jc w:val="center"/>
            </w:pPr>
            <w:r>
              <w:rPr>
                <w:rFonts w:ascii="Arial" w:cs="Arial" w:eastAsia="Arial" w:hAnsi="Arial"/>
                <w:b/>
                <w:bCs/>
                <w:color w:val="FFFFFF"/>
                <w:sz w:val="20"/>
                <w:szCs w:val="20"/>
              </w:rPr>
              <w:t xml:space="preserve">0.0726</w:t>
            </w:r>
          </w:p>
        </w:tc>
      </w:tr>
    </w:tbl>
    <w:p>
      <w:pPr>
        <w:spacing w:before="40" w:after="40"/>
      </w:pPr>
      <w:r>
        <w:t xml:space="preserve"/>
      </w:r>
    </w:p>
    <w:p>
      <w:pPr>
        <w:spacing w:before="60" w:after="100" w:line="300"/>
        <w:jc w:val="both"/>
      </w:pPr>
      <w:r>
        <w:rPr>
          <w:rFonts w:ascii="Arial" w:cs="Arial" w:eastAsia="Arial" w:hAnsi="Arial"/>
          <w:i w:val="false"/>
          <w:iCs w:val="false"/>
          <w:color w:val="111111"/>
          <w:sz w:val="22"/>
          <w:szCs w:val="22"/>
        </w:rPr>
        <w:t xml:space="preserve">Reading across the rows of Table 1, several patterns are immediately apparent. Thai (mean F1=0.184) is the strongest performer by a substantial margin, more than 3× the next-best performers Bengali (0.106) and Telugu (0.100). Swahili (0.023) is the weakest performer, consistently below 0.030 across all four strategies. The eight remaining languages cluster in a relatively tight band between 0.049 and 0.074.</w:t>
      </w:r>
    </w:p>
    <w:p>
      <w:pPr>
        <w:spacing w:before="40" w:after="40"/>
      </w:pPr>
      <w:r>
        <w:t xml:space="preserve"/>
      </w:r>
    </w:p>
    <w:p>
      <w:pPr>
        <w:spacing w:before="60" w:after="100" w:line="300"/>
        <w:jc w:val="both"/>
      </w:pPr>
      <w:r>
        <w:rPr>
          <w:rFonts w:ascii="Arial" w:cs="Arial" w:eastAsia="Arial" w:hAnsi="Arial"/>
          <w:i w:val="false"/>
          <w:iCs w:val="false"/>
          <w:color w:val="111111"/>
          <w:sz w:val="22"/>
          <w:szCs w:val="22"/>
        </w:rPr>
        <w:t xml:space="preserve">Reading down the columns, the Minimal strategy achieves the highest mean F1 (0.074), with Strict the lowest (0.071). However, these differences are small — the strategy effect on F1 is negligible across languages, a finding discussed further in Section 4.</w:t>
      </w:r>
    </w:p>
    <w:p>
      <w:r>
        <w:br w:type="page"/>
      </w:r>
    </w:p>
    <w:p>
      <w:pPr>
        <w:pStyle w:val="Heading2"/>
        <w:spacing w:before="260" w:after="120"/>
      </w:pPr>
      <w:r>
        <w:rPr>
          <w:rFonts w:ascii="Arial" w:cs="Arial" w:eastAsia="Arial" w:hAnsi="Arial"/>
          <w:b/>
          <w:bCs/>
          <w:color w:val="2E75B6"/>
          <w:sz w:val="28"/>
          <w:szCs w:val="28"/>
        </w:rPr>
        <w:t xml:space="preserve">2.2 BERTScore-F1: Full Results Table</w:t>
      </w:r>
    </w:p>
    <w:p>
      <w:pPr>
        <w:spacing w:before="40" w:after="140"/>
        <w:jc w:val="center"/>
      </w:pPr>
      <w:r>
        <w:rPr>
          <w:rFonts w:ascii="Arial" w:cs="Arial" w:eastAsia="Arial" w:hAnsi="Arial"/>
          <w:i/>
          <w:iCs/>
          <w:color w:val="717D7E"/>
          <w:sz w:val="18"/>
          <w:szCs w:val="18"/>
        </w:rPr>
        <w:t xml:space="preserve">Table 2. BERTScore-F1 (bert-base-multilingual-cased) by Language and Prompting Strategy.</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300"/>
        <w:gridCol w:w="1200"/>
        <w:gridCol w:w="1100"/>
      </w:tblGrid>
      <w:tr>
        <w:trPr>
          <w:tblHeader/>
        </w:trPr>
        <w:tc>
          <w:tcPr>
            <w:tcW w:type="dxa" w:w="1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Language</w:t>
            </w:r>
          </w:p>
        </w:tc>
        <w:tc>
          <w:tcPr>
            <w:tcW w:type="dxa" w:w="12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Minimal</w:t>
            </w:r>
          </w:p>
        </w:tc>
        <w:tc>
          <w:tcPr>
            <w:tcW w:type="dxa" w:w="12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Expl. EN</w:t>
            </w:r>
          </w:p>
        </w:tc>
        <w:tc>
          <w:tcPr>
            <w:tcW w:type="dxa" w:w="13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Expl. Native</w:t>
            </w:r>
          </w:p>
        </w:tc>
        <w:tc>
          <w:tcPr>
            <w:tcW w:type="dxa" w:w="12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Strict</w:t>
            </w:r>
          </w:p>
        </w:tc>
        <w:tc>
          <w:tcPr>
            <w:tcW w:type="dxa" w:w="11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Mean</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left"/>
            </w:pPr>
            <w:r>
              <w:rPr>
                <w:rFonts w:ascii="Arial" w:cs="Arial" w:eastAsia="Arial" w:hAnsi="Arial"/>
                <w:b/>
                <w:bCs/>
                <w:color w:val="111111"/>
                <w:sz w:val="20"/>
                <w:szCs w:val="20"/>
              </w:rPr>
              <w:t xml:space="preserve">Arabic</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0.580</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0.576</w:t>
            </w:r>
          </w:p>
        </w:tc>
        <w:tc>
          <w:tcPr>
            <w:tcW w:type="dxa" w:w="13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0.579</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0.577</w:t>
            </w:r>
          </w:p>
        </w:tc>
        <w:tc>
          <w:tcPr>
            <w:tcW w:type="dxa" w:w="11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0.578</w:t>
            </w:r>
          </w:p>
        </w:tc>
      </w:tr>
      <w:tr>
        <w:tc>
          <w:tcPr>
            <w:tcW w:type="dxa" w:w="16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left"/>
            </w:pPr>
            <w:r>
              <w:rPr>
                <w:rFonts w:ascii="Arial" w:cs="Arial" w:eastAsia="Arial" w:hAnsi="Arial"/>
                <w:b/>
                <w:bCs/>
                <w:color w:val="111111"/>
                <w:sz w:val="20"/>
                <w:szCs w:val="20"/>
              </w:rPr>
              <w:t xml:space="preserve">Bengali</w:t>
            </w:r>
          </w:p>
        </w:tc>
        <w:tc>
          <w:tcPr>
            <w:tcW w:type="dxa" w:w="12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0.630</w:t>
            </w:r>
          </w:p>
        </w:tc>
        <w:tc>
          <w:tcPr>
            <w:tcW w:type="dxa" w:w="12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0.629</w:t>
            </w:r>
          </w:p>
        </w:tc>
        <w:tc>
          <w:tcPr>
            <w:tcW w:type="dxa" w:w="13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0.629</w:t>
            </w:r>
          </w:p>
        </w:tc>
        <w:tc>
          <w:tcPr>
            <w:tcW w:type="dxa" w:w="12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0.627</w:t>
            </w:r>
          </w:p>
        </w:tc>
        <w:tc>
          <w:tcPr>
            <w:tcW w:type="dxa" w:w="11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0.629</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left"/>
            </w:pPr>
            <w:r>
              <w:rPr>
                <w:rFonts w:ascii="Arial" w:cs="Arial" w:eastAsia="Arial" w:hAnsi="Arial"/>
                <w:b/>
                <w:bCs/>
                <w:color w:val="111111"/>
                <w:sz w:val="20"/>
                <w:szCs w:val="20"/>
              </w:rPr>
              <w:t xml:space="preserve">English</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0.566</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0.560</w:t>
            </w:r>
          </w:p>
        </w:tc>
        <w:tc>
          <w:tcPr>
            <w:tcW w:type="dxa" w:w="13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0.564</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0.565</w:t>
            </w:r>
          </w:p>
        </w:tc>
        <w:tc>
          <w:tcPr>
            <w:tcW w:type="dxa" w:w="11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0.564</w:t>
            </w:r>
          </w:p>
        </w:tc>
      </w:tr>
      <w:tr>
        <w:tc>
          <w:tcPr>
            <w:tcW w:type="dxa" w:w="16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left"/>
            </w:pPr>
            <w:r>
              <w:rPr>
                <w:rFonts w:ascii="Arial" w:cs="Arial" w:eastAsia="Arial" w:hAnsi="Arial"/>
                <w:b/>
                <w:bCs/>
                <w:color w:val="111111"/>
                <w:sz w:val="20"/>
                <w:szCs w:val="20"/>
              </w:rPr>
              <w:t xml:space="preserve">Finnish</w:t>
            </w:r>
          </w:p>
        </w:tc>
        <w:tc>
          <w:tcPr>
            <w:tcW w:type="dxa" w:w="12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0.573</w:t>
            </w:r>
          </w:p>
        </w:tc>
        <w:tc>
          <w:tcPr>
            <w:tcW w:type="dxa" w:w="12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0.568</w:t>
            </w:r>
          </w:p>
        </w:tc>
        <w:tc>
          <w:tcPr>
            <w:tcW w:type="dxa" w:w="13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0.572</w:t>
            </w:r>
          </w:p>
        </w:tc>
        <w:tc>
          <w:tcPr>
            <w:tcW w:type="dxa" w:w="12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0.570</w:t>
            </w:r>
          </w:p>
        </w:tc>
        <w:tc>
          <w:tcPr>
            <w:tcW w:type="dxa" w:w="11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0.571</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left"/>
            </w:pPr>
            <w:r>
              <w:rPr>
                <w:rFonts w:ascii="Arial" w:cs="Arial" w:eastAsia="Arial" w:hAnsi="Arial"/>
                <w:b/>
                <w:bCs/>
                <w:color w:val="111111"/>
                <w:sz w:val="20"/>
                <w:szCs w:val="20"/>
              </w:rPr>
              <w:t xml:space="preserve">Indonesian</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0.572</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0.568</w:t>
            </w:r>
          </w:p>
        </w:tc>
        <w:tc>
          <w:tcPr>
            <w:tcW w:type="dxa" w:w="13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0.567</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0.565</w:t>
            </w:r>
          </w:p>
        </w:tc>
        <w:tc>
          <w:tcPr>
            <w:tcW w:type="dxa" w:w="11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0.568</w:t>
            </w:r>
          </w:p>
        </w:tc>
      </w:tr>
      <w:tr>
        <w:tc>
          <w:tcPr>
            <w:tcW w:type="dxa" w:w="16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left"/>
            </w:pPr>
            <w:r>
              <w:rPr>
                <w:rFonts w:ascii="Arial" w:cs="Arial" w:eastAsia="Arial" w:hAnsi="Arial"/>
                <w:b/>
                <w:bCs/>
                <w:color w:val="111111"/>
                <w:sz w:val="20"/>
                <w:szCs w:val="20"/>
              </w:rPr>
              <w:t xml:space="preserve">Japanese</w:t>
            </w:r>
          </w:p>
        </w:tc>
        <w:tc>
          <w:tcPr>
            <w:tcW w:type="dxa" w:w="12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0.565</w:t>
            </w:r>
          </w:p>
        </w:tc>
        <w:tc>
          <w:tcPr>
            <w:tcW w:type="dxa" w:w="12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0.565</w:t>
            </w:r>
          </w:p>
        </w:tc>
        <w:tc>
          <w:tcPr>
            <w:tcW w:type="dxa" w:w="13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0.565</w:t>
            </w:r>
          </w:p>
        </w:tc>
        <w:tc>
          <w:tcPr>
            <w:tcW w:type="dxa" w:w="12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0.568</w:t>
            </w:r>
          </w:p>
        </w:tc>
        <w:tc>
          <w:tcPr>
            <w:tcW w:type="dxa" w:w="11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0.566</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left"/>
            </w:pPr>
            <w:r>
              <w:rPr>
                <w:rFonts w:ascii="Arial" w:cs="Arial" w:eastAsia="Arial" w:hAnsi="Arial"/>
                <w:b/>
                <w:bCs/>
                <w:color w:val="111111"/>
                <w:sz w:val="20"/>
                <w:szCs w:val="20"/>
              </w:rPr>
              <w:t xml:space="preserve">Korean</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0.578</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0.579</w:t>
            </w:r>
          </w:p>
        </w:tc>
        <w:tc>
          <w:tcPr>
            <w:tcW w:type="dxa" w:w="13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0.579</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0.577</w:t>
            </w:r>
          </w:p>
        </w:tc>
        <w:tc>
          <w:tcPr>
            <w:tcW w:type="dxa" w:w="11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0.578</w:t>
            </w:r>
          </w:p>
        </w:tc>
      </w:tr>
      <w:tr>
        <w:tc>
          <w:tcPr>
            <w:tcW w:type="dxa" w:w="16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left"/>
            </w:pPr>
            <w:r>
              <w:rPr>
                <w:rFonts w:ascii="Arial" w:cs="Arial" w:eastAsia="Arial" w:hAnsi="Arial"/>
                <w:b/>
                <w:bCs/>
                <w:color w:val="111111"/>
                <w:sz w:val="20"/>
                <w:szCs w:val="20"/>
              </w:rPr>
              <w:t xml:space="preserve">Russian</w:t>
            </w:r>
          </w:p>
        </w:tc>
        <w:tc>
          <w:tcPr>
            <w:tcW w:type="dxa" w:w="12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0.551</w:t>
            </w:r>
          </w:p>
        </w:tc>
        <w:tc>
          <w:tcPr>
            <w:tcW w:type="dxa" w:w="12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0.549</w:t>
            </w:r>
          </w:p>
        </w:tc>
        <w:tc>
          <w:tcPr>
            <w:tcW w:type="dxa" w:w="13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0.553</w:t>
            </w:r>
          </w:p>
        </w:tc>
        <w:tc>
          <w:tcPr>
            <w:tcW w:type="dxa" w:w="12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0.550</w:t>
            </w:r>
          </w:p>
        </w:tc>
        <w:tc>
          <w:tcPr>
            <w:tcW w:type="dxa" w:w="11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0.551</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left"/>
            </w:pPr>
            <w:r>
              <w:rPr>
                <w:rFonts w:ascii="Arial" w:cs="Arial" w:eastAsia="Arial" w:hAnsi="Arial"/>
                <w:b/>
                <w:bCs/>
                <w:color w:val="111111"/>
                <w:sz w:val="20"/>
                <w:szCs w:val="20"/>
              </w:rPr>
              <w:t xml:space="preserve">Swahili</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0.517</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0.518</w:t>
            </w:r>
          </w:p>
        </w:tc>
        <w:tc>
          <w:tcPr>
            <w:tcW w:type="dxa" w:w="13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0.518</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0.515</w:t>
            </w:r>
          </w:p>
        </w:tc>
        <w:tc>
          <w:tcPr>
            <w:tcW w:type="dxa" w:w="11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0.517</w:t>
            </w:r>
          </w:p>
        </w:tc>
      </w:tr>
      <w:tr>
        <w:tc>
          <w:tcPr>
            <w:tcW w:type="dxa" w:w="16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left"/>
            </w:pPr>
            <w:r>
              <w:rPr>
                <w:rFonts w:ascii="Arial" w:cs="Arial" w:eastAsia="Arial" w:hAnsi="Arial"/>
                <w:b/>
                <w:bCs/>
                <w:color w:val="111111"/>
                <w:sz w:val="20"/>
                <w:szCs w:val="20"/>
              </w:rPr>
              <w:t xml:space="preserve">Telugu</w:t>
            </w:r>
          </w:p>
        </w:tc>
        <w:tc>
          <w:tcPr>
            <w:tcW w:type="dxa" w:w="12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0.610</w:t>
            </w:r>
          </w:p>
        </w:tc>
        <w:tc>
          <w:tcPr>
            <w:tcW w:type="dxa" w:w="12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0.603</w:t>
            </w:r>
          </w:p>
        </w:tc>
        <w:tc>
          <w:tcPr>
            <w:tcW w:type="dxa" w:w="13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0.608</w:t>
            </w:r>
          </w:p>
        </w:tc>
        <w:tc>
          <w:tcPr>
            <w:tcW w:type="dxa" w:w="12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0.610</w:t>
            </w:r>
          </w:p>
        </w:tc>
        <w:tc>
          <w:tcPr>
            <w:tcW w:type="dxa" w:w="11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0.608</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left"/>
            </w:pPr>
            <w:r>
              <w:rPr>
                <w:rFonts w:ascii="Arial" w:cs="Arial" w:eastAsia="Arial" w:hAnsi="Arial"/>
                <w:b/>
                <w:bCs/>
                <w:color w:val="111111"/>
                <w:sz w:val="20"/>
                <w:szCs w:val="20"/>
              </w:rPr>
              <w:t xml:space="preserve">Thai</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0.598</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0.598</w:t>
            </w:r>
          </w:p>
        </w:tc>
        <w:tc>
          <w:tcPr>
            <w:tcW w:type="dxa" w:w="13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0.597</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0.594</w:t>
            </w:r>
          </w:p>
        </w:tc>
        <w:tc>
          <w:tcPr>
            <w:tcW w:type="dxa" w:w="11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0.597</w:t>
            </w:r>
          </w:p>
        </w:tc>
      </w:tr>
      <w:tr>
        <w:tc>
          <w:tcPr>
            <w:tcW w:type="dxa" w:w="1600"/>
            <w:tcBorders>
              <w:top w:val="single" w:color="2E75B6" w:sz="1"/>
              <w:left w:val="single" w:color="2E75B6" w:sz="1"/>
              <w:bottom w:val="single" w:color="2E75B6" w:sz="1"/>
              <w:right w:val="single" w:color="2E75B6" w:sz="1"/>
            </w:tcBorders>
            <w:shd w:fill="1E3A5F" w:val="clear"/>
            <w:tcMar>
              <w:top w:type="dxa" w:w="70"/>
              <w:left w:type="dxa" w:w="120"/>
              <w:bottom w:type="dxa" w:w="70"/>
              <w:right w:type="dxa" w:w="120"/>
            </w:tcMar>
          </w:tcPr>
          <w:p>
            <w:pPr>
              <w:jc w:val="left"/>
            </w:pPr>
            <w:r>
              <w:rPr>
                <w:rFonts w:ascii="Arial" w:cs="Arial" w:eastAsia="Arial" w:hAnsi="Arial"/>
                <w:b/>
                <w:bCs/>
                <w:color w:val="FFFFFF"/>
                <w:sz w:val="20"/>
                <w:szCs w:val="20"/>
              </w:rPr>
              <w:t xml:space="preserve">Mean</w:t>
            </w:r>
          </w:p>
        </w:tc>
        <w:tc>
          <w:tcPr>
            <w:tcW w:type="dxa" w:w="1200"/>
            <w:tcBorders>
              <w:top w:val="single" w:color="2E75B6" w:sz="1"/>
              <w:left w:val="single" w:color="2E75B6" w:sz="1"/>
              <w:bottom w:val="single" w:color="2E75B6" w:sz="1"/>
              <w:right w:val="single" w:color="2E75B6" w:sz="1"/>
            </w:tcBorders>
            <w:shd w:fill="1E3A5F" w:val="clear"/>
            <w:tcMar>
              <w:top w:type="dxa" w:w="70"/>
              <w:left w:type="dxa" w:w="120"/>
              <w:bottom w:type="dxa" w:w="70"/>
              <w:right w:type="dxa" w:w="120"/>
            </w:tcMar>
          </w:tcPr>
          <w:p>
            <w:pPr>
              <w:jc w:val="center"/>
            </w:pPr>
            <w:r>
              <w:rPr>
                <w:rFonts w:ascii="Arial" w:cs="Arial" w:eastAsia="Arial" w:hAnsi="Arial"/>
                <w:b/>
                <w:bCs/>
                <w:color w:val="FFFFFF"/>
                <w:sz w:val="20"/>
                <w:szCs w:val="20"/>
              </w:rPr>
              <w:t xml:space="preserve">0.576</w:t>
            </w:r>
          </w:p>
        </w:tc>
        <w:tc>
          <w:tcPr>
            <w:tcW w:type="dxa" w:w="1200"/>
            <w:tcBorders>
              <w:top w:val="single" w:color="2E75B6" w:sz="1"/>
              <w:left w:val="single" w:color="2E75B6" w:sz="1"/>
              <w:bottom w:val="single" w:color="2E75B6" w:sz="1"/>
              <w:right w:val="single" w:color="2E75B6" w:sz="1"/>
            </w:tcBorders>
            <w:shd w:fill="1E3A5F" w:val="clear"/>
            <w:tcMar>
              <w:top w:type="dxa" w:w="70"/>
              <w:left w:type="dxa" w:w="120"/>
              <w:bottom w:type="dxa" w:w="70"/>
              <w:right w:type="dxa" w:w="120"/>
            </w:tcMar>
          </w:tcPr>
          <w:p>
            <w:pPr>
              <w:jc w:val="center"/>
            </w:pPr>
            <w:r>
              <w:rPr>
                <w:rFonts w:ascii="Arial" w:cs="Arial" w:eastAsia="Arial" w:hAnsi="Arial"/>
                <w:b/>
                <w:bCs/>
                <w:color w:val="FFFFFF"/>
                <w:sz w:val="20"/>
                <w:szCs w:val="20"/>
              </w:rPr>
              <w:t xml:space="preserve">0.574</w:t>
            </w:r>
          </w:p>
        </w:tc>
        <w:tc>
          <w:tcPr>
            <w:tcW w:type="dxa" w:w="1300"/>
            <w:tcBorders>
              <w:top w:val="single" w:color="2E75B6" w:sz="1"/>
              <w:left w:val="single" w:color="2E75B6" w:sz="1"/>
              <w:bottom w:val="single" w:color="2E75B6" w:sz="1"/>
              <w:right w:val="single" w:color="2E75B6" w:sz="1"/>
            </w:tcBorders>
            <w:shd w:fill="1E3A5F" w:val="clear"/>
            <w:tcMar>
              <w:top w:type="dxa" w:w="70"/>
              <w:left w:type="dxa" w:w="120"/>
              <w:bottom w:type="dxa" w:w="70"/>
              <w:right w:type="dxa" w:w="120"/>
            </w:tcMar>
          </w:tcPr>
          <w:p>
            <w:pPr>
              <w:jc w:val="center"/>
            </w:pPr>
            <w:r>
              <w:rPr>
                <w:rFonts w:ascii="Arial" w:cs="Arial" w:eastAsia="Arial" w:hAnsi="Arial"/>
                <w:b/>
                <w:bCs/>
                <w:color w:val="FFFFFF"/>
                <w:sz w:val="20"/>
                <w:szCs w:val="20"/>
              </w:rPr>
              <w:t xml:space="preserve">0.576</w:t>
            </w:r>
          </w:p>
        </w:tc>
        <w:tc>
          <w:tcPr>
            <w:tcW w:type="dxa" w:w="1200"/>
            <w:tcBorders>
              <w:top w:val="single" w:color="2E75B6" w:sz="1"/>
              <w:left w:val="single" w:color="2E75B6" w:sz="1"/>
              <w:bottom w:val="single" w:color="2E75B6" w:sz="1"/>
              <w:right w:val="single" w:color="2E75B6" w:sz="1"/>
            </w:tcBorders>
            <w:shd w:fill="1E3A5F" w:val="clear"/>
            <w:tcMar>
              <w:top w:type="dxa" w:w="70"/>
              <w:left w:type="dxa" w:w="120"/>
              <w:bottom w:type="dxa" w:w="70"/>
              <w:right w:type="dxa" w:w="120"/>
            </w:tcMar>
          </w:tcPr>
          <w:p>
            <w:pPr>
              <w:jc w:val="center"/>
            </w:pPr>
            <w:r>
              <w:rPr>
                <w:rFonts w:ascii="Arial" w:cs="Arial" w:eastAsia="Arial" w:hAnsi="Arial"/>
                <w:b/>
                <w:bCs/>
                <w:color w:val="FFFFFF"/>
                <w:sz w:val="20"/>
                <w:szCs w:val="20"/>
              </w:rPr>
              <w:t xml:space="preserve">0.574</w:t>
            </w:r>
          </w:p>
        </w:tc>
        <w:tc>
          <w:tcPr>
            <w:tcW w:type="dxa" w:w="1100"/>
            <w:tcBorders>
              <w:top w:val="single" w:color="2E75B6" w:sz="1"/>
              <w:left w:val="single" w:color="2E75B6" w:sz="1"/>
              <w:bottom w:val="single" w:color="2E75B6" w:sz="1"/>
              <w:right w:val="single" w:color="2E75B6" w:sz="1"/>
            </w:tcBorders>
            <w:shd w:fill="1E3A5F" w:val="clear"/>
            <w:tcMar>
              <w:top w:type="dxa" w:w="70"/>
              <w:left w:type="dxa" w:w="120"/>
              <w:bottom w:type="dxa" w:w="70"/>
              <w:right w:type="dxa" w:w="120"/>
            </w:tcMar>
          </w:tcPr>
          <w:p>
            <w:pPr>
              <w:jc w:val="center"/>
            </w:pPr>
            <w:r>
              <w:rPr>
                <w:rFonts w:ascii="Arial" w:cs="Arial" w:eastAsia="Arial" w:hAnsi="Arial"/>
                <w:b/>
                <w:bCs/>
                <w:color w:val="FFFFFF"/>
                <w:sz w:val="20"/>
                <w:szCs w:val="20"/>
              </w:rPr>
              <w:t xml:space="preserve">0.575</w:t>
            </w:r>
          </w:p>
        </w:tc>
      </w:tr>
    </w:tbl>
    <w:p>
      <w:pPr>
        <w:spacing w:before="40" w:after="40"/>
      </w:pPr>
      <w:r>
        <w:t xml:space="preserve"/>
      </w:r>
    </w:p>
    <w:p>
      <w:pPr>
        <w:spacing w:before="60" w:after="100" w:line="300"/>
        <w:jc w:val="both"/>
      </w:pPr>
      <w:r>
        <w:rPr>
          <w:rFonts w:ascii="Arial" w:cs="Arial" w:eastAsia="Arial" w:hAnsi="Arial"/>
          <w:i w:val="false"/>
          <w:iCs w:val="false"/>
          <w:color w:val="111111"/>
          <w:sz w:val="22"/>
          <w:szCs w:val="22"/>
        </w:rPr>
        <w:t xml:space="preserve">BERTScore tells a qualitatively different story from token-F1. The spread across languages narrows substantially — Swahili still scores lowest (mean 0.517) but the gap to Bengali's top score (0.629) is only 0.112, compared to a gap of 0.161 on token-F1. This compression indicates that even for low-resource languages and difficult QA pairs, the model's generated text sits in the same semantic neighbourhood as the reference at the contextual embedding level, even when exact lexical overlap is poor.</w:t>
      </w:r>
    </w:p>
    <w:p>
      <w:pPr>
        <w:spacing w:before="40" w:after="40"/>
      </w:pPr>
      <w:r>
        <w:t xml:space="preserve"/>
      </w:r>
    </w:p>
    <w:p>
      <w:pPr>
        <w:pBdr>
          <w:left w:val="thick" w:color="2E75B6" w:sz="12"/>
        </w:pBdr>
        <w:shd w:fill="D5F5E3" w:val="clear"/>
        <w:spacing w:before="80" w:after="80" w:line="280"/>
        <w:ind w:left="360" w:right="360"/>
      </w:pPr>
      <w:r>
        <w:rPr>
          <w:rFonts w:ascii="Arial" w:cs="Arial" w:eastAsia="Arial" w:hAnsi="Arial"/>
          <w:b/>
          <w:bCs/>
          <w:color w:val="1E8449"/>
          <w:sz w:val="22"/>
          <w:szCs w:val="22"/>
        </w:rPr>
        <w:t xml:space="preserve">BERTScore Insight: A mean BERTScore-F1 of 0.575 is a positive signal that the model understands the semantic target of the question. The low token-F1 is a generation style problem, not a comprehension failure. RAG or output formatting constraints could unlock this latent capability.</w:t>
      </w:r>
    </w:p>
    <w:p>
      <w:pPr>
        <w:spacing w:before="40" w:after="40"/>
      </w:pPr>
      <w:r>
        <w:t xml:space="preserve"/>
      </w:r>
    </w:p>
    <w:p>
      <w:pPr>
        <w:spacing w:before="60" w:after="100" w:line="300"/>
        <w:jc w:val="both"/>
      </w:pPr>
      <w:r>
        <w:rPr>
          <w:rFonts w:ascii="Arial" w:cs="Arial" w:eastAsia="Arial" w:hAnsi="Arial"/>
          <w:i w:val="false"/>
          <w:iCs w:val="false"/>
          <w:color w:val="111111"/>
          <w:sz w:val="22"/>
          <w:szCs w:val="22"/>
        </w:rPr>
        <w:t xml:space="preserve">Critically, BERTScore shows even less strategy sensitivity than token-F1. The range across strategies within any given language is at most 0.004, indicating that how the language instruction is worded has essentially no effect on semantic answer quality as measured by contextual embedding similarity.</w:t>
      </w:r>
    </w:p>
    <w:p>
      <w:r>
        <w:br w:type="page"/>
      </w:r>
    </w:p>
    <w:p>
      <w:pPr>
        <w:pStyle w:val="Heading1"/>
        <w:pBdr>
          <w:bottom w:val="single" w:color="2E75B6" w:sz="6" w:space="1"/>
        </w:pBdr>
        <w:spacing w:before="320" w:after="160"/>
      </w:pPr>
      <w:r>
        <w:rPr>
          <w:rFonts w:ascii="Arial" w:cs="Arial" w:eastAsia="Arial" w:hAnsi="Arial"/>
          <w:b/>
          <w:bCs/>
          <w:color w:val="1E3A5F"/>
          <w:sz w:val="36"/>
          <w:szCs w:val="36"/>
        </w:rPr>
        <w:t xml:space="preserve">3. Language Adherence — Language Match Rate and Script Consistency</w:t>
      </w:r>
    </w:p>
    <w:p>
      <w:pPr>
        <w:pBdr>
          <w:left w:val="thick" w:color="2E75B6" w:sz="12"/>
        </w:pBdr>
        <w:shd w:fill="D5F5E3" w:val="clear"/>
        <w:spacing w:before="80" w:after="80" w:line="280"/>
        <w:ind w:left="360" w:right="360"/>
      </w:pPr>
      <w:r>
        <w:rPr>
          <w:rFonts w:ascii="Arial" w:cs="Arial" w:eastAsia="Arial" w:hAnsi="Arial"/>
          <w:b/>
          <w:bCs/>
          <w:color w:val="1E8449"/>
          <w:sz w:val="22"/>
          <w:szCs w:val="22"/>
        </w:rPr>
        <w:t xml:space="preserve">Headline: EuroLLM-9B-Instruct is an exceptional multilingual language follower. Mean Language Match Rate is 0.993 across all cells — the model responds in the correct language on 99.3% of samples regardless of which of the four prompting strategies is used.</w:t>
      </w:r>
    </w:p>
    <w:p>
      <w:pPr>
        <w:spacing w:before="40" w:after="40"/>
      </w:pPr>
      <w:r>
        <w:t xml:space="preserve"/>
      </w:r>
    </w:p>
    <w:p>
      <w:pPr>
        <w:spacing w:before="60" w:after="100" w:line="300"/>
        <w:jc w:val="both"/>
      </w:pPr>
      <w:r>
        <w:rPr>
          <w:rFonts w:ascii="Arial" w:cs="Arial" w:eastAsia="Arial" w:hAnsi="Arial"/>
          <w:i w:val="false"/>
          <w:iCs w:val="false"/>
          <w:color w:val="111111"/>
          <w:sz w:val="22"/>
          <w:szCs w:val="22"/>
        </w:rPr>
        <w:t xml:space="preserve">The Language Match Rate heatmap (image 7 above) presents a near-uniformly deep green grid. This is a striking positive result: even under the minimal prompt that provides only a single language instruction, EuroLLM-9B-Instruct virtually never responds in the wrong language. Latin-script languages (English, Finnish, Indonesian) achieve 1.000 LMR across all strategies since the script detection simply checks alphabetic characters. Non-Latin scripts also perform excellently: Arabic 0.994, Bengali 0.994, Korean 0.994, Telugu 0.996.</w:t>
      </w:r>
    </w:p>
    <w:p>
      <w:pPr>
        <w:spacing w:before="40" w:after="40"/>
      </w:pPr>
      <w:r>
        <w:t xml:space="preserve"/>
      </w:r>
    </w:p>
    <w:p>
      <w:pPr>
        <w:spacing w:before="60" w:after="100" w:line="300"/>
        <w:jc w:val="both"/>
      </w:pPr>
      <w:r>
        <w:rPr>
          <w:rFonts w:ascii="Arial" w:cs="Arial" w:eastAsia="Arial" w:hAnsi="Arial"/>
          <w:i w:val="false"/>
          <w:iCs w:val="false"/>
          <w:color w:val="111111"/>
          <w:sz w:val="22"/>
          <w:szCs w:val="22"/>
        </w:rPr>
        <w:t xml:space="preserve">Japanese is the only notable outlier at 0.977 mean LMR, reflecting approximately 4–5 responses per 200 that include Latin characters. This is consistent with the known mixed-script nature of modern Japanese text, which routinely incorporates loan words in katakana alongside Latin abbreviations. The metric slightly penalises legitimate Japanese usage.</w:t>
      </w:r>
    </w:p>
    <w:p>
      <w:pPr>
        <w:spacing w:before="40" w:after="40"/>
      </w:pPr>
      <w:r>
        <w:t xml:space="preserve"/>
      </w:r>
    </w:p>
    <w:p>
      <w:pPr>
        <w:pStyle w:val="Heading2"/>
        <w:spacing w:before="260" w:after="120"/>
      </w:pPr>
      <w:r>
        <w:rPr>
          <w:rFonts w:ascii="Arial" w:cs="Arial" w:eastAsia="Arial" w:hAnsi="Arial"/>
          <w:b/>
          <w:bCs/>
          <w:color w:val="2E75B6"/>
          <w:sz w:val="28"/>
          <w:szCs w:val="28"/>
        </w:rPr>
        <w:t xml:space="preserve">3.1 Script Consistency</w:t>
      </w:r>
    </w:p>
    <w:p>
      <w:pPr>
        <w:spacing w:before="60" w:after="100" w:line="300"/>
        <w:jc w:val="both"/>
      </w:pPr>
      <w:r>
        <w:rPr>
          <w:rFonts w:ascii="Arial" w:cs="Arial" w:eastAsia="Arial" w:hAnsi="Arial"/>
          <w:i w:val="false"/>
          <w:iCs w:val="false"/>
          <w:color w:val="111111"/>
          <w:sz w:val="22"/>
          <w:szCs w:val="22"/>
        </w:rPr>
        <w:t xml:space="preserve">Script Consistency is a more nuanced measure of within-response script purity. Unlike LMR (which fires on any single correct-script character), SC measures what fraction of all characters belong to the expected script. The heatmap (image 8) shows more differentiation across languages and a clear downward trend from Minimal to Strict.</w:t>
      </w:r>
    </w:p>
    <w:p>
      <w:pPr>
        <w:spacing w:before="40" w:after="40"/>
      </w:pPr>
      <w:r>
        <w:t xml:space="preserve"/>
      </w:r>
    </w:p>
    <w:p>
      <w:pPr>
        <w:spacing w:before="60" w:after="100" w:line="300"/>
        <w:jc w:val="both"/>
      </w:pPr>
      <w:r>
        <w:rPr>
          <w:rFonts w:ascii="Arial" w:cs="Arial" w:eastAsia="Arial" w:hAnsi="Arial"/>
          <w:i w:val="false"/>
          <w:iCs w:val="false"/>
          <w:color w:val="111111"/>
          <w:sz w:val="22"/>
          <w:szCs w:val="22"/>
        </w:rPr>
        <w:t xml:space="preserve">Thai achieves the highest SC (mean 0.850), followed by Finnish (0.823) and Indonesian (0.806). This is largely a metric artefact: Thai text consists almost entirely of Thai Unicode characters with essentially no Latin borrowings detectable in short QA contexts, while Finnish and Indonesian, although Latin-script, have clean alphabetic text with few digits or special symbols.</w:t>
      </w:r>
    </w:p>
    <w:p>
      <w:pPr>
        <w:spacing w:before="40" w:after="40"/>
      </w:pPr>
      <w:r>
        <w:t xml:space="preserve"/>
      </w:r>
    </w:p>
    <w:p>
      <w:pPr>
        <w:spacing w:before="60" w:after="100" w:line="300"/>
        <w:jc w:val="both"/>
      </w:pPr>
      <w:r>
        <w:rPr>
          <w:rFonts w:ascii="Arial" w:cs="Arial" w:eastAsia="Arial" w:hAnsi="Arial"/>
          <w:i w:val="false"/>
          <w:iCs w:val="false"/>
          <w:color w:val="111111"/>
          <w:sz w:val="22"/>
          <w:szCs w:val="22"/>
        </w:rPr>
        <w:t xml:space="preserve">Korean (mean SC=0.612) and Telugu (mean SC=0.628) show the lowest script consistency despite near-perfect LMR. For Korean, this reflects a structural feature of the evaluation: Korean QA answers often include numeric references, punctuation, and occasionally properly-spelled proper nouns in Latin script — all of which reduce SC. For Telugu, the short mean answer length of only 13.6 tokens means that a single Latin digit or punctuation mark depresses the SC score substantially.</w:t>
      </w:r>
    </w:p>
    <w:p>
      <w:pPr>
        <w:spacing w:before="40" w:after="40"/>
      </w:pPr>
      <w:r>
        <w:t xml:space="preserve"/>
      </w:r>
    </w:p>
    <w:p>
      <w:pPr>
        <w:pBdr>
          <w:left w:val="thick" w:color="2E75B6" w:sz="12"/>
        </w:pBdr>
        <w:shd w:fill="FDEBD0" w:val="clear"/>
        <w:spacing w:before="80" w:after="80" w:line="280"/>
        <w:ind w:left="360" w:right="360"/>
      </w:pPr>
      <w:r>
        <w:rPr>
          <w:rFonts w:ascii="Arial" w:cs="Arial" w:eastAsia="Arial" w:hAnsi="Arial"/>
          <w:b/>
          <w:bCs/>
          <w:color w:val="E67E22"/>
          <w:sz w:val="22"/>
          <w:szCs w:val="22"/>
        </w:rPr>
        <w:t xml:space="preserve">Script Consistency Caveat: SC values below 1.0 do not always indicate code-switching errors. For languages with legitimate mixed-script usage (Japanese, Korean) or very short answers (Telugu), SC is a noisy signal. The error distribution analysis (Section 6) provides a more reliable breakdown of genuine wrong-language responses.</w:t>
      </w:r>
    </w:p>
    <w:p>
      <w:r>
        <w:br w:type="page"/>
      </w:r>
    </w:p>
    <w:p>
      <w:pPr>
        <w:pStyle w:val="Heading1"/>
        <w:pBdr>
          <w:bottom w:val="single" w:color="2E75B6" w:sz="6" w:space="1"/>
        </w:pBdr>
        <w:spacing w:before="320" w:after="160"/>
      </w:pPr>
      <w:r>
        <w:rPr>
          <w:rFonts w:ascii="Arial" w:cs="Arial" w:eastAsia="Arial" w:hAnsi="Arial"/>
          <w:b/>
          <w:bCs/>
          <w:color w:val="1E3A5F"/>
          <w:sz w:val="36"/>
          <w:szCs w:val="36"/>
        </w:rPr>
        <w:t xml:space="preserve">4. Prompting Strategy Analysis — Does Instruction Strength Matter?</w:t>
      </w:r>
    </w:p>
    <w:p>
      <w:pPr>
        <w:spacing w:before="60" w:after="100" w:line="300"/>
        <w:jc w:val="both"/>
      </w:pPr>
      <w:r>
        <w:rPr>
          <w:rFonts w:ascii="Arial" w:cs="Arial" w:eastAsia="Arial" w:hAnsi="Arial"/>
          <w:i w:val="false"/>
          <w:iCs w:val="false"/>
          <w:color w:val="111111"/>
          <w:sz w:val="22"/>
          <w:szCs w:val="22"/>
        </w:rPr>
        <w:t xml:space="preserve">A central hypothesis of this evaluation is that stronger, more explicit language instructions would improve the model's response quality — particularly its adherence to the target language and its ability to extract accurate answers. The results challenge this hypothesis sharply.</w:t>
      </w:r>
    </w:p>
    <w:p>
      <w:pPr>
        <w:spacing w:before="40" w:after="40"/>
      </w:pPr>
      <w:r>
        <w:t xml:space="preserve"/>
      </w:r>
    </w:p>
    <w:p>
      <w:pPr>
        <w:pStyle w:val="Heading2"/>
        <w:spacing w:before="260" w:after="120"/>
      </w:pPr>
      <w:r>
        <w:rPr>
          <w:rFonts w:ascii="Arial" w:cs="Arial" w:eastAsia="Arial" w:hAnsi="Arial"/>
          <w:b/>
          <w:bCs/>
          <w:color w:val="2E75B6"/>
          <w:sz w:val="28"/>
          <w:szCs w:val="28"/>
        </w:rPr>
        <w:t xml:space="preserve">4.1 F1 and BERTScore: Strategy Has Minimal Effect</w:t>
      </w:r>
    </w:p>
    <w:p>
      <w:pPr>
        <w:spacing w:before="60" w:after="100" w:line="300"/>
        <w:jc w:val="both"/>
      </w:pPr>
      <w:r>
        <w:rPr>
          <w:rFonts w:ascii="Arial" w:cs="Arial" w:eastAsia="Arial" w:hAnsi="Arial"/>
          <w:i w:val="false"/>
          <w:iCs w:val="false"/>
          <w:color w:val="111111"/>
          <w:sz w:val="22"/>
          <w:szCs w:val="22"/>
        </w:rPr>
        <w:t xml:space="preserve">Table 3 below summarises the mean metrics by strategy aggregated across all 11 languages:</w:t>
      </w:r>
    </w:p>
    <w:p>
      <w:pPr>
        <w:spacing w:before="40" w:after="40"/>
      </w:pPr>
      <w:r>
        <w:t xml:space="preserve"/>
      </w:r>
    </w:p>
    <w:p>
      <w:pPr>
        <w:spacing w:before="40" w:after="140"/>
        <w:jc w:val="center"/>
      </w:pPr>
      <w:r>
        <w:rPr>
          <w:rFonts w:ascii="Arial" w:cs="Arial" w:eastAsia="Arial" w:hAnsi="Arial"/>
          <w:i/>
          <w:iCs/>
          <w:color w:val="717D7E"/>
          <w:sz w:val="18"/>
          <w:szCs w:val="18"/>
        </w:rPr>
        <w:t xml:space="preserve">Table 3. Key Metrics Averaged Across All Languages by Prompting Strategy.</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1600"/>
        <w:gridCol w:w="1600"/>
      </w:tblGrid>
      <w:tr>
        <w:trPr>
          <w:tblHeader/>
        </w:trPr>
        <w:tc>
          <w:tcPr>
            <w:tcW w:type="dxa" w:w="15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Strategy</w:t>
            </w:r>
          </w:p>
        </w:tc>
        <w:tc>
          <w:tcPr>
            <w:tcW w:type="dxa" w:w="1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Mean Hall. Rate</w:t>
            </w:r>
          </w:p>
        </w:tc>
        <w:tc>
          <w:tcPr>
            <w:tcW w:type="dxa" w:w="1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Mean Ev. Usage</w:t>
            </w:r>
          </w:p>
        </w:tc>
        <w:tc>
          <w:tcPr>
            <w:tcW w:type="dxa" w:w="1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Mean F1</w:t>
            </w:r>
          </w:p>
        </w:tc>
        <w:tc>
          <w:tcPr>
            <w:tcW w:type="dxa" w:w="1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Mean BS-F1</w:t>
            </w:r>
          </w:p>
        </w:tc>
      </w:tr>
      <w:tr>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left"/>
            </w:pPr>
            <w:r>
              <w:rPr>
                <w:rFonts w:ascii="Arial" w:cs="Arial" w:eastAsia="Arial" w:hAnsi="Arial"/>
                <w:b/>
                <w:bCs/>
                <w:color w:val="111111"/>
                <w:sz w:val="20"/>
                <w:szCs w:val="20"/>
              </w:rPr>
              <w:t xml:space="preserve">Minimal</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0.0619</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0.9363</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0.0743</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0.5764</w:t>
            </w:r>
          </w:p>
        </w:tc>
      </w:tr>
      <w:tr>
        <w:tc>
          <w:tcPr>
            <w:tcW w:type="dxa" w:w="15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left"/>
            </w:pPr>
            <w:r>
              <w:rPr>
                <w:rFonts w:ascii="Arial" w:cs="Arial" w:eastAsia="Arial" w:hAnsi="Arial"/>
                <w:b/>
                <w:bCs/>
                <w:color w:val="111111"/>
                <w:sz w:val="20"/>
                <w:szCs w:val="20"/>
              </w:rPr>
              <w:t xml:space="preserve">Expl. EN</w:t>
            </w:r>
          </w:p>
        </w:tc>
        <w:tc>
          <w:tcPr>
            <w:tcW w:type="dxa" w:w="16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0.0829</w:t>
            </w:r>
          </w:p>
        </w:tc>
        <w:tc>
          <w:tcPr>
            <w:tcW w:type="dxa" w:w="16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0.9153</w:t>
            </w:r>
          </w:p>
        </w:tc>
        <w:tc>
          <w:tcPr>
            <w:tcW w:type="dxa" w:w="16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0.0714</w:t>
            </w:r>
          </w:p>
        </w:tc>
        <w:tc>
          <w:tcPr>
            <w:tcW w:type="dxa" w:w="16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0.5739</w:t>
            </w:r>
          </w:p>
        </w:tc>
      </w:tr>
      <w:tr>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left"/>
            </w:pPr>
            <w:r>
              <w:rPr>
                <w:rFonts w:ascii="Arial" w:cs="Arial" w:eastAsia="Arial" w:hAnsi="Arial"/>
                <w:b/>
                <w:bCs/>
                <w:color w:val="111111"/>
                <w:sz w:val="20"/>
                <w:szCs w:val="20"/>
              </w:rPr>
              <w:t xml:space="preserve">Expl. Nat.</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0.0922</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0.9065</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0.0742</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0.5755</w:t>
            </w:r>
          </w:p>
        </w:tc>
      </w:tr>
      <w:tr>
        <w:tc>
          <w:tcPr>
            <w:tcW w:type="dxa" w:w="15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left"/>
            </w:pPr>
            <w:r>
              <w:rPr>
                <w:rFonts w:ascii="Arial" w:cs="Arial" w:eastAsia="Arial" w:hAnsi="Arial"/>
                <w:b/>
                <w:bCs/>
                <w:color w:val="111111"/>
                <w:sz w:val="20"/>
                <w:szCs w:val="20"/>
              </w:rPr>
              <w:t xml:space="preserve">Strict</w:t>
            </w:r>
          </w:p>
        </w:tc>
        <w:tc>
          <w:tcPr>
            <w:tcW w:type="dxa" w:w="16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0.0933</w:t>
            </w:r>
          </w:p>
        </w:tc>
        <w:tc>
          <w:tcPr>
            <w:tcW w:type="dxa" w:w="16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0.9040</w:t>
            </w:r>
          </w:p>
        </w:tc>
        <w:tc>
          <w:tcPr>
            <w:tcW w:type="dxa" w:w="16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0.0706</w:t>
            </w:r>
          </w:p>
        </w:tc>
        <w:tc>
          <w:tcPr>
            <w:tcW w:type="dxa" w:w="16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0.5744</w:t>
            </w:r>
          </w:p>
        </w:tc>
      </w:tr>
    </w:tbl>
    <w:p>
      <w:pPr>
        <w:spacing w:before="40" w:after="40"/>
      </w:pPr>
      <w:r>
        <w:t xml:space="preserve"/>
      </w:r>
    </w:p>
    <w:p>
      <w:pPr>
        <w:spacing w:before="60" w:after="100" w:line="300"/>
        <w:jc w:val="both"/>
      </w:pPr>
      <w:r>
        <w:rPr>
          <w:rFonts w:ascii="Arial" w:cs="Arial" w:eastAsia="Arial" w:hAnsi="Arial"/>
          <w:i w:val="false"/>
          <w:iCs w:val="false"/>
          <w:color w:val="111111"/>
          <w:sz w:val="22"/>
          <w:szCs w:val="22"/>
        </w:rPr>
        <w:t xml:space="preserve">The F1 differences across strategies are tiny: Minimal (0.074) vs Strict (0.071), a gap of just 0.003. The BERTScore gap is even smaller: 0.576 vs 0.574. Paired t-tests on F1 scores (with Bonferroni correction for 6 pairwise comparisons) yield no significant differences between strategies on either metric. The 95% confidence intervals from bootstrap resampling fully overlap for all language-strategy pairs.</w:t>
      </w:r>
    </w:p>
    <w:p>
      <w:pPr>
        <w:spacing w:before="40" w:after="40"/>
      </w:pPr>
      <w:r>
        <w:t xml:space="preserve"/>
      </w:r>
    </w:p>
    <w:p>
      <w:pPr>
        <w:spacing w:before="60" w:after="100" w:line="300"/>
        <w:jc w:val="both"/>
      </w:pPr>
      <w:r>
        <w:rPr>
          <w:rFonts w:ascii="Arial" w:cs="Arial" w:eastAsia="Arial" w:hAnsi="Arial"/>
          <w:i w:val="false"/>
          <w:iCs w:val="false"/>
          <w:color w:val="111111"/>
          <w:sz w:val="22"/>
          <w:szCs w:val="22"/>
        </w:rPr>
        <w:t xml:space="preserve">This finding has a clear interpretation: the model's answer content is not materially changed by whether the language instruction is stated once, twice, or reinforced with capital letters and forbidden labels. EuroLLM-9B-Instruct already internalises the language constraint at a deep level — additional explicit instruction is redundant for the language-following task.</w:t>
      </w:r>
    </w:p>
    <w:p>
      <w:pPr>
        <w:spacing w:before="40" w:after="40"/>
      </w:pPr>
      <w:r>
        <w:t xml:space="preserve"/>
      </w:r>
    </w:p>
    <w:p>
      <w:pPr>
        <w:pStyle w:val="Heading2"/>
        <w:spacing w:before="260" w:after="120"/>
      </w:pPr>
      <w:r>
        <w:rPr>
          <w:rFonts w:ascii="Arial" w:cs="Arial" w:eastAsia="Arial" w:hAnsi="Arial"/>
          <w:b/>
          <w:bCs/>
          <w:color w:val="2E75B6"/>
          <w:sz w:val="28"/>
          <w:szCs w:val="28"/>
        </w:rPr>
        <w:t xml:space="preserve">4.2 The Critical Trade-off: Hallucination vs Evidence Grounding</w:t>
      </w:r>
    </w:p>
    <w:p>
      <w:pPr>
        <w:spacing w:before="60" w:after="100" w:line="300"/>
        <w:jc w:val="both"/>
      </w:pPr>
      <w:r>
        <w:rPr>
          <w:rFonts w:ascii="Arial" w:cs="Arial" w:eastAsia="Arial" w:hAnsi="Arial"/>
          <w:i w:val="false"/>
          <w:iCs w:val="false"/>
          <w:color w:val="111111"/>
          <w:sz w:val="22"/>
          <w:szCs w:val="22"/>
        </w:rPr>
        <w:t xml:space="preserve">The most important and actionable finding from the strategy comparison is a consistent, monotonic trade-off: as instruction explicitness increases from Minimal to Strict, hallucination rate rises and evidence usage falls.</w:t>
      </w:r>
    </w:p>
    <w:p>
      <w:pPr>
        <w:spacing w:before="40" w:after="40"/>
      </w:pPr>
      <w:r>
        <w:t xml:space="preserve"/>
      </w:r>
    </w:p>
    <w:p>
      <w:pPr>
        <w:pStyle w:val="ListParagraph"/>
        <w:numPr>
          <w:ilvl w:val="0"/>
          <w:numId w:val="2"/>
        </w:numPr>
        <w:spacing w:before="40" w:after="40" w:line="280"/>
      </w:pPr>
      <w:r>
        <w:rPr>
          <w:rFonts w:ascii="Arial" w:cs="Arial" w:eastAsia="Arial" w:hAnsi="Arial"/>
          <w:color w:val="111111"/>
          <w:sz w:val="22"/>
          <w:szCs w:val="22"/>
        </w:rPr>
        <w:t xml:space="preserve">Minimal strategy: mean hallucination 0.062, evidence usage 0.936 — the most grounded condition.</w:t>
      </w:r>
    </w:p>
    <w:p>
      <w:pPr>
        <w:pStyle w:val="ListParagraph"/>
        <w:numPr>
          <w:ilvl w:val="0"/>
          <w:numId w:val="2"/>
        </w:numPr>
        <w:spacing w:before="40" w:after="40" w:line="280"/>
      </w:pPr>
      <w:r>
        <w:rPr>
          <w:rFonts w:ascii="Arial" w:cs="Arial" w:eastAsia="Arial" w:hAnsi="Arial"/>
          <w:color w:val="111111"/>
          <w:sz w:val="22"/>
          <w:szCs w:val="22"/>
        </w:rPr>
        <w:t xml:space="preserve">Explicit EN: hallucination 0.083, evidence usage 0.915 — a noticeable degradation.</w:t>
      </w:r>
    </w:p>
    <w:p>
      <w:pPr>
        <w:pStyle w:val="ListParagraph"/>
        <w:numPr>
          <w:ilvl w:val="0"/>
          <w:numId w:val="2"/>
        </w:numPr>
        <w:spacing w:before="40" w:after="40" w:line="280"/>
      </w:pPr>
      <w:r>
        <w:rPr>
          <w:rFonts w:ascii="Arial" w:cs="Arial" w:eastAsia="Arial" w:hAnsi="Arial"/>
          <w:color w:val="111111"/>
          <w:sz w:val="22"/>
          <w:szCs w:val="22"/>
        </w:rPr>
        <w:t xml:space="preserve">Explicit Native: hallucination 0.092, evidence usage 0.907 — further degradation.</w:t>
      </w:r>
    </w:p>
    <w:p>
      <w:pPr>
        <w:pStyle w:val="ListParagraph"/>
        <w:numPr>
          <w:ilvl w:val="0"/>
          <w:numId w:val="2"/>
        </w:numPr>
        <w:spacing w:before="40" w:after="40" w:line="280"/>
      </w:pPr>
      <w:r>
        <w:rPr>
          <w:rFonts w:ascii="Arial" w:cs="Arial" w:eastAsia="Arial" w:hAnsi="Arial"/>
          <w:color w:val="111111"/>
          <w:sz w:val="22"/>
          <w:szCs w:val="22"/>
        </w:rPr>
        <w:t xml:space="preserve">Strict: hallucination 0.093, evidence usage 0.904 — the worst grounding condition.</w:t>
      </w:r>
    </w:p>
    <w:p>
      <w:pPr>
        <w:spacing w:before="40" w:after="40"/>
      </w:pPr>
      <w:r>
        <w:t xml:space="preserve"/>
      </w:r>
    </w:p>
    <w:p>
      <w:pPr>
        <w:pBdr>
          <w:left w:val="thick" w:color="2E75B6" w:sz="12"/>
        </w:pBdr>
        <w:shd w:fill="FADBD8" w:val="clear"/>
        <w:spacing w:before="80" w:after="80" w:line="280"/>
        <w:ind w:left="360" w:right="360"/>
      </w:pPr>
      <w:r>
        <w:rPr>
          <w:rFonts w:ascii="Arial" w:cs="Arial" w:eastAsia="Arial" w:hAnsi="Arial"/>
          <w:b/>
          <w:bCs/>
          <w:color w:val="C0392B"/>
          <w:sz w:val="22"/>
          <w:szCs w:val="22"/>
        </w:rPr>
        <w:t xml:space="preserve">Critical Finding: Stricter prompting instructions do not improve answer quality but do increase hallucination by ~50% relative (from 6.2% to 9.3%) and reduce evidence grounding by ~3.4 percentage points. This suggests that adding strong meta-instructions to the prompt competes for the model's attention budget, reducing its engagement with the actual evidence passage.</w:t>
      </w:r>
    </w:p>
    <w:p>
      <w:pPr>
        <w:spacing w:before="40" w:after="40"/>
      </w:pPr>
      <w:r>
        <w:t xml:space="preserve"/>
      </w:r>
    </w:p>
    <w:p>
      <w:pPr>
        <w:spacing w:before="60" w:after="100" w:line="300"/>
        <w:jc w:val="both"/>
      </w:pPr>
      <w:r>
        <w:rPr>
          <w:rFonts w:ascii="Arial" w:cs="Arial" w:eastAsia="Arial" w:hAnsi="Arial"/>
          <w:i w:val="false"/>
          <w:iCs w:val="false"/>
          <w:color w:val="111111"/>
          <w:sz w:val="22"/>
          <w:szCs w:val="22"/>
        </w:rPr>
        <w:t xml:space="preserve">The effect is not uniform across languages. Languages where answers are naturally short and well-bounded in the evidence (Japanese: hallucination 0.031–0.033 across all strategies; Korean: 0.028–0.036; Thai: 0.019–0.029; Bengali: 0.036–0.042) show minimal strategy sensitivity. The hallucination effect is strongest in Latin-script languages with longer, prose-style answers: Finnish (0.090 → 0.156), Indonesian (0.080 → 0.153), Russian (0.093 → 0.158), and Arabic (0.104 → 0.148).</w:t>
      </w:r>
    </w:p>
    <w:p>
      <w:pPr>
        <w:spacing w:before="40" w:after="40"/>
      </w:pPr>
      <w:r>
        <w:t xml:space="preserve"/>
      </w:r>
    </w:p>
    <w:p>
      <w:pPr>
        <w:spacing w:before="60" w:after="100" w:line="300"/>
        <w:jc w:val="both"/>
      </w:pPr>
      <w:r>
        <w:rPr>
          <w:rFonts w:ascii="Arial" w:cs="Arial" w:eastAsia="Arial" w:hAnsi="Arial"/>
          <w:i w:val="false"/>
          <w:iCs w:val="false"/>
          <w:color w:val="111111"/>
          <w:sz w:val="22"/>
          <w:szCs w:val="22"/>
        </w:rPr>
        <w:t xml:space="preserve">The mechanistic explanation is plausible: the Strict prompt includes three lines of meta-instruction before the question and context. This shifts the model's initial generation state toward formatting compliance and away from evidence grounding. The Minimal prompt, in contrast, allows the model to engage more directly with the passage content.</w:t>
      </w:r>
    </w:p>
    <w:p>
      <w:pPr>
        <w:spacing w:before="40" w:after="40"/>
      </w:pPr>
      <w:r>
        <w:t xml:space="preserve"/>
      </w:r>
    </w:p>
    <w:p>
      <w:pPr>
        <w:pStyle w:val="Heading2"/>
        <w:spacing w:before="260" w:after="120"/>
      </w:pPr>
      <w:r>
        <w:rPr>
          <w:rFonts w:ascii="Arial" w:cs="Arial" w:eastAsia="Arial" w:hAnsi="Arial"/>
          <w:b/>
          <w:bCs/>
          <w:color w:val="2E75B6"/>
          <w:sz w:val="28"/>
          <w:szCs w:val="28"/>
        </w:rPr>
        <w:t xml:space="preserve">4.3 Answer Length by Strategy</w:t>
      </w:r>
    </w:p>
    <w:p>
      <w:pPr>
        <w:spacing w:before="60" w:after="100" w:line="300"/>
        <w:jc w:val="both"/>
      </w:pPr>
      <w:r>
        <w:rPr>
          <w:rFonts w:ascii="Arial" w:cs="Arial" w:eastAsia="Arial" w:hAnsi="Arial"/>
          <w:i w:val="false"/>
          <w:iCs w:val="false"/>
          <w:color w:val="111111"/>
          <w:sz w:val="22"/>
          <w:szCs w:val="22"/>
        </w:rPr>
        <w:t xml:space="preserve">Answer length (measured in tokens using language-appropriate tokenisation) shows a weak but consistent pattern: Strict prompting produces slightly longer answers than Minimal across most languages. Korean shows the most extreme absolute lengths (mean ~486 tokens across all strategies), reflecting character-level tokenisation of a script where each character is one token. Telugu produces by far the shortest answers (mean 13.6 tokens), consistent with its concise, compound-noun answer style in the TyDiQA dataset. Swahili produces the longest Latin-script answers (mean ~289 tokens), suggesting the model tends toward explanation rather than extraction for low-resource languages.</w:t>
      </w:r>
    </w:p>
    <w:p>
      <w:r>
        <w:br w:type="page"/>
      </w:r>
    </w:p>
    <w:p>
      <w:pPr>
        <w:pStyle w:val="Heading1"/>
        <w:pBdr>
          <w:bottom w:val="single" w:color="2E75B6" w:sz="6" w:space="1"/>
        </w:pBdr>
        <w:spacing w:before="320" w:after="160"/>
      </w:pPr>
      <w:r>
        <w:rPr>
          <w:rFonts w:ascii="Arial" w:cs="Arial" w:eastAsia="Arial" w:hAnsi="Arial"/>
          <w:b/>
          <w:bCs/>
          <w:color w:val="1E3A5F"/>
          <w:sz w:val="36"/>
          <w:szCs w:val="36"/>
        </w:rPr>
        <w:t xml:space="preserve">5. Per-Language Deep Dive</w:t>
      </w:r>
    </w:p>
    <w:p>
      <w:pPr>
        <w:spacing w:before="40" w:after="140"/>
        <w:jc w:val="center"/>
      </w:pPr>
      <w:r>
        <w:rPr>
          <w:rFonts w:ascii="Arial" w:cs="Arial" w:eastAsia="Arial" w:hAnsi="Arial"/>
          <w:i/>
          <w:iCs/>
          <w:color w:val="717D7E"/>
          <w:sz w:val="18"/>
          <w:szCs w:val="18"/>
        </w:rPr>
        <w:t xml:space="preserve">Table 4. Comprehensive Language Profile — All Metrics Averaged Across Strategies.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900"/>
        <w:gridCol w:w="900"/>
        <w:gridCol w:w="900"/>
        <w:gridCol w:w="900"/>
        <w:gridCol w:w="900"/>
        <w:gridCol w:w="1000"/>
      </w:tblGrid>
      <w:tr>
        <w:trPr>
          <w:tblHeader/>
        </w:trPr>
        <w:tc>
          <w:tcPr>
            <w:tcW w:type="dxa" w:w="14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Language</w:t>
            </w:r>
          </w:p>
        </w:tc>
        <w:tc>
          <w:tcPr>
            <w:tcW w:type="dxa" w:w="9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F1 Mean</w:t>
            </w:r>
          </w:p>
        </w:tc>
        <w:tc>
          <w:tcPr>
            <w:tcW w:type="dxa" w:w="9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BS-F1</w:t>
            </w:r>
          </w:p>
        </w:tc>
        <w:tc>
          <w:tcPr>
            <w:tcW w:type="dxa" w:w="9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LMR</w:t>
            </w:r>
          </w:p>
        </w:tc>
        <w:tc>
          <w:tcPr>
            <w:tcW w:type="dxa" w:w="9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w:t>
            </w:r>
          </w:p>
        </w:tc>
        <w:tc>
          <w:tcPr>
            <w:tcW w:type="dxa" w:w="9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Hall.</w:t>
            </w:r>
          </w:p>
        </w:tc>
        <w:tc>
          <w:tcPr>
            <w:tcW w:type="dxa" w:w="9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Ev. Use</w:t>
            </w:r>
          </w:p>
        </w:tc>
        <w:tc>
          <w:tcPr>
            <w:tcW w:type="dxa" w:w="10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Len.</w:t>
            </w:r>
          </w:p>
        </w:tc>
      </w:tr>
      <w:tr>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left"/>
            </w:pPr>
            <w:r>
              <w:rPr>
                <w:rFonts w:ascii="Arial" w:cs="Arial" w:eastAsia="Arial" w:hAnsi="Arial"/>
                <w:b/>
                <w:bCs/>
                <w:color w:val="111111"/>
                <w:sz w:val="20"/>
                <w:szCs w:val="20"/>
              </w:rPr>
              <w:t xml:space="preserve">Arabic</w:t>
            </w:r>
          </w:p>
        </w:tc>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0.052</w:t>
            </w:r>
          </w:p>
        </w:tc>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0.578</w:t>
            </w:r>
          </w:p>
        </w:tc>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0.994</w:t>
            </w:r>
          </w:p>
        </w:tc>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0.715</w:t>
            </w:r>
          </w:p>
        </w:tc>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0.133</w:t>
            </w:r>
          </w:p>
        </w:tc>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0.867</w:t>
            </w:r>
          </w:p>
        </w:tc>
        <w:tc>
          <w:tcPr>
            <w:tcW w:type="dxa" w:w="1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235</w:t>
            </w:r>
          </w:p>
        </w:tc>
      </w:tr>
      <w:tr>
        <w:tc>
          <w:tcPr>
            <w:tcW w:type="dxa" w:w="14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left"/>
            </w:pPr>
            <w:r>
              <w:rPr>
                <w:rFonts w:ascii="Arial" w:cs="Arial" w:eastAsia="Arial" w:hAnsi="Arial"/>
                <w:b/>
                <w:bCs/>
                <w:color w:val="111111"/>
                <w:sz w:val="20"/>
                <w:szCs w:val="20"/>
              </w:rPr>
              <w:t xml:space="preserve">Bengali</w:t>
            </w:r>
          </w:p>
        </w:tc>
        <w:tc>
          <w:tcPr>
            <w:tcW w:type="dxa" w:w="9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0.106</w:t>
            </w:r>
          </w:p>
        </w:tc>
        <w:tc>
          <w:tcPr>
            <w:tcW w:type="dxa" w:w="9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0.629</w:t>
            </w:r>
          </w:p>
        </w:tc>
        <w:tc>
          <w:tcPr>
            <w:tcW w:type="dxa" w:w="9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0.994</w:t>
            </w:r>
          </w:p>
        </w:tc>
        <w:tc>
          <w:tcPr>
            <w:tcW w:type="dxa" w:w="9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0.775</w:t>
            </w:r>
          </w:p>
        </w:tc>
        <w:tc>
          <w:tcPr>
            <w:tcW w:type="dxa" w:w="9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0.039</w:t>
            </w:r>
          </w:p>
        </w:tc>
        <w:tc>
          <w:tcPr>
            <w:tcW w:type="dxa" w:w="9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0.958</w:t>
            </w:r>
          </w:p>
        </w:tc>
        <w:tc>
          <w:tcPr>
            <w:tcW w:type="dxa" w:w="10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38</w:t>
            </w:r>
          </w:p>
        </w:tc>
      </w:tr>
      <w:tr>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left"/>
            </w:pPr>
            <w:r>
              <w:rPr>
                <w:rFonts w:ascii="Arial" w:cs="Arial" w:eastAsia="Arial" w:hAnsi="Arial"/>
                <w:b/>
                <w:bCs/>
                <w:color w:val="111111"/>
                <w:sz w:val="20"/>
                <w:szCs w:val="20"/>
              </w:rPr>
              <w:t xml:space="preserve">English</w:t>
            </w:r>
          </w:p>
        </w:tc>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0.052</w:t>
            </w:r>
          </w:p>
        </w:tc>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0.564</w:t>
            </w:r>
          </w:p>
        </w:tc>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1.000</w:t>
            </w:r>
          </w:p>
        </w:tc>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0.780</w:t>
            </w:r>
          </w:p>
        </w:tc>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0.083</w:t>
            </w:r>
          </w:p>
        </w:tc>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0.917</w:t>
            </w:r>
          </w:p>
        </w:tc>
        <w:tc>
          <w:tcPr>
            <w:tcW w:type="dxa" w:w="1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216</w:t>
            </w:r>
          </w:p>
        </w:tc>
      </w:tr>
      <w:tr>
        <w:tc>
          <w:tcPr>
            <w:tcW w:type="dxa" w:w="14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left"/>
            </w:pPr>
            <w:r>
              <w:rPr>
                <w:rFonts w:ascii="Arial" w:cs="Arial" w:eastAsia="Arial" w:hAnsi="Arial"/>
                <w:b/>
                <w:bCs/>
                <w:color w:val="111111"/>
                <w:sz w:val="20"/>
                <w:szCs w:val="20"/>
              </w:rPr>
              <w:t xml:space="preserve">Finnish</w:t>
            </w:r>
          </w:p>
        </w:tc>
        <w:tc>
          <w:tcPr>
            <w:tcW w:type="dxa" w:w="9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0.066</w:t>
            </w:r>
          </w:p>
        </w:tc>
        <w:tc>
          <w:tcPr>
            <w:tcW w:type="dxa" w:w="9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0.571</w:t>
            </w:r>
          </w:p>
        </w:tc>
        <w:tc>
          <w:tcPr>
            <w:tcW w:type="dxa" w:w="9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1.000</w:t>
            </w:r>
          </w:p>
        </w:tc>
        <w:tc>
          <w:tcPr>
            <w:tcW w:type="dxa" w:w="9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0.823</w:t>
            </w:r>
          </w:p>
        </w:tc>
        <w:tc>
          <w:tcPr>
            <w:tcW w:type="dxa" w:w="9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0.130</w:t>
            </w:r>
          </w:p>
        </w:tc>
        <w:tc>
          <w:tcPr>
            <w:tcW w:type="dxa" w:w="9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0.870</w:t>
            </w:r>
          </w:p>
        </w:tc>
        <w:tc>
          <w:tcPr>
            <w:tcW w:type="dxa" w:w="10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174</w:t>
            </w:r>
          </w:p>
        </w:tc>
      </w:tr>
      <w:tr>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left"/>
            </w:pPr>
            <w:r>
              <w:rPr>
                <w:rFonts w:ascii="Arial" w:cs="Arial" w:eastAsia="Arial" w:hAnsi="Arial"/>
                <w:b/>
                <w:bCs/>
                <w:color w:val="111111"/>
                <w:sz w:val="20"/>
                <w:szCs w:val="20"/>
              </w:rPr>
              <w:t xml:space="preserve">Indonesian</w:t>
            </w:r>
          </w:p>
        </w:tc>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0.057</w:t>
            </w:r>
          </w:p>
        </w:tc>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0.568</w:t>
            </w:r>
          </w:p>
        </w:tc>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1.000</w:t>
            </w:r>
          </w:p>
        </w:tc>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0.806</w:t>
            </w:r>
          </w:p>
        </w:tc>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0.128</w:t>
            </w:r>
          </w:p>
        </w:tc>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0.872</w:t>
            </w:r>
          </w:p>
        </w:tc>
        <w:tc>
          <w:tcPr>
            <w:tcW w:type="dxa" w:w="1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198</w:t>
            </w:r>
          </w:p>
        </w:tc>
      </w:tr>
      <w:tr>
        <w:tc>
          <w:tcPr>
            <w:tcW w:type="dxa" w:w="14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left"/>
            </w:pPr>
            <w:r>
              <w:rPr>
                <w:rFonts w:ascii="Arial" w:cs="Arial" w:eastAsia="Arial" w:hAnsi="Arial"/>
                <w:b/>
                <w:bCs/>
                <w:color w:val="111111"/>
                <w:sz w:val="20"/>
                <w:szCs w:val="20"/>
              </w:rPr>
              <w:t xml:space="preserve">Japanese</w:t>
            </w:r>
          </w:p>
        </w:tc>
        <w:tc>
          <w:tcPr>
            <w:tcW w:type="dxa" w:w="9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0.056</w:t>
            </w:r>
          </w:p>
        </w:tc>
        <w:tc>
          <w:tcPr>
            <w:tcW w:type="dxa" w:w="9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0.566</w:t>
            </w:r>
          </w:p>
        </w:tc>
        <w:tc>
          <w:tcPr>
            <w:tcW w:type="dxa" w:w="9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0.977</w:t>
            </w:r>
          </w:p>
        </w:tc>
        <w:tc>
          <w:tcPr>
            <w:tcW w:type="dxa" w:w="9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0.743</w:t>
            </w:r>
          </w:p>
        </w:tc>
        <w:tc>
          <w:tcPr>
            <w:tcW w:type="dxa" w:w="9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0.032</w:t>
            </w:r>
          </w:p>
        </w:tc>
        <w:tc>
          <w:tcPr>
            <w:tcW w:type="dxa" w:w="9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0.961</w:t>
            </w:r>
          </w:p>
        </w:tc>
        <w:tc>
          <w:tcPr>
            <w:tcW w:type="dxa" w:w="10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205</w:t>
            </w:r>
          </w:p>
        </w:tc>
      </w:tr>
      <w:tr>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left"/>
            </w:pPr>
            <w:r>
              <w:rPr>
                <w:rFonts w:ascii="Arial" w:cs="Arial" w:eastAsia="Arial" w:hAnsi="Arial"/>
                <w:b/>
                <w:bCs/>
                <w:color w:val="111111"/>
                <w:sz w:val="20"/>
                <w:szCs w:val="20"/>
              </w:rPr>
              <w:t xml:space="preserve">Korean</w:t>
            </w:r>
          </w:p>
        </w:tc>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0.049</w:t>
            </w:r>
          </w:p>
        </w:tc>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0.578</w:t>
            </w:r>
          </w:p>
        </w:tc>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0.994</w:t>
            </w:r>
          </w:p>
        </w:tc>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0.612</w:t>
            </w:r>
          </w:p>
        </w:tc>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0.032</w:t>
            </w:r>
          </w:p>
        </w:tc>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0.967</w:t>
            </w:r>
          </w:p>
        </w:tc>
        <w:tc>
          <w:tcPr>
            <w:tcW w:type="dxa" w:w="1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486</w:t>
            </w:r>
          </w:p>
        </w:tc>
      </w:tr>
      <w:tr>
        <w:tc>
          <w:tcPr>
            <w:tcW w:type="dxa" w:w="14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left"/>
            </w:pPr>
            <w:r>
              <w:rPr>
                <w:rFonts w:ascii="Arial" w:cs="Arial" w:eastAsia="Arial" w:hAnsi="Arial"/>
                <w:b/>
                <w:bCs/>
                <w:color w:val="111111"/>
                <w:sz w:val="20"/>
                <w:szCs w:val="20"/>
              </w:rPr>
              <w:t xml:space="preserve">Russian</w:t>
            </w:r>
          </w:p>
        </w:tc>
        <w:tc>
          <w:tcPr>
            <w:tcW w:type="dxa" w:w="9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0.053</w:t>
            </w:r>
          </w:p>
        </w:tc>
        <w:tc>
          <w:tcPr>
            <w:tcW w:type="dxa" w:w="9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0.551</w:t>
            </w:r>
          </w:p>
        </w:tc>
        <w:tc>
          <w:tcPr>
            <w:tcW w:type="dxa" w:w="9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0.999</w:t>
            </w:r>
          </w:p>
        </w:tc>
        <w:tc>
          <w:tcPr>
            <w:tcW w:type="dxa" w:w="9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0.732</w:t>
            </w:r>
          </w:p>
        </w:tc>
        <w:tc>
          <w:tcPr>
            <w:tcW w:type="dxa" w:w="9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0.131</w:t>
            </w:r>
          </w:p>
        </w:tc>
        <w:tc>
          <w:tcPr>
            <w:tcW w:type="dxa" w:w="9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0.869</w:t>
            </w:r>
          </w:p>
        </w:tc>
        <w:tc>
          <w:tcPr>
            <w:tcW w:type="dxa" w:w="10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190</w:t>
            </w:r>
          </w:p>
        </w:tc>
      </w:tr>
      <w:tr>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left"/>
            </w:pPr>
            <w:r>
              <w:rPr>
                <w:rFonts w:ascii="Arial" w:cs="Arial" w:eastAsia="Arial" w:hAnsi="Arial"/>
                <w:b/>
                <w:bCs/>
                <w:color w:val="111111"/>
                <w:sz w:val="20"/>
                <w:szCs w:val="20"/>
              </w:rPr>
              <w:t xml:space="preserve">Swahili</w:t>
            </w:r>
          </w:p>
        </w:tc>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0.023</w:t>
            </w:r>
          </w:p>
        </w:tc>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0.517</w:t>
            </w:r>
          </w:p>
        </w:tc>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0.995</w:t>
            </w:r>
          </w:p>
        </w:tc>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0.780</w:t>
            </w:r>
          </w:p>
        </w:tc>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0.132</w:t>
            </w:r>
          </w:p>
        </w:tc>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0.863</w:t>
            </w:r>
          </w:p>
        </w:tc>
        <w:tc>
          <w:tcPr>
            <w:tcW w:type="dxa" w:w="1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289</w:t>
            </w:r>
          </w:p>
        </w:tc>
      </w:tr>
      <w:tr>
        <w:tc>
          <w:tcPr>
            <w:tcW w:type="dxa" w:w="14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left"/>
            </w:pPr>
            <w:r>
              <w:rPr>
                <w:rFonts w:ascii="Arial" w:cs="Arial" w:eastAsia="Arial" w:hAnsi="Arial"/>
                <w:b/>
                <w:bCs/>
                <w:color w:val="111111"/>
                <w:sz w:val="20"/>
                <w:szCs w:val="20"/>
              </w:rPr>
              <w:t xml:space="preserve">Telugu</w:t>
            </w:r>
          </w:p>
        </w:tc>
        <w:tc>
          <w:tcPr>
            <w:tcW w:type="dxa" w:w="9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0.100</w:t>
            </w:r>
          </w:p>
        </w:tc>
        <w:tc>
          <w:tcPr>
            <w:tcW w:type="dxa" w:w="9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0.608</w:t>
            </w:r>
          </w:p>
        </w:tc>
        <w:tc>
          <w:tcPr>
            <w:tcW w:type="dxa" w:w="9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0.996</w:t>
            </w:r>
          </w:p>
        </w:tc>
        <w:tc>
          <w:tcPr>
            <w:tcW w:type="dxa" w:w="9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0.628</w:t>
            </w:r>
          </w:p>
        </w:tc>
        <w:tc>
          <w:tcPr>
            <w:tcW w:type="dxa" w:w="9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0.045</w:t>
            </w:r>
          </w:p>
        </w:tc>
        <w:tc>
          <w:tcPr>
            <w:tcW w:type="dxa" w:w="9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0.950</w:t>
            </w:r>
          </w:p>
        </w:tc>
        <w:tc>
          <w:tcPr>
            <w:tcW w:type="dxa" w:w="10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14</w:t>
            </w:r>
          </w:p>
        </w:tc>
      </w:tr>
      <w:tr>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left"/>
            </w:pPr>
            <w:r>
              <w:rPr>
                <w:rFonts w:ascii="Arial" w:cs="Arial" w:eastAsia="Arial" w:hAnsi="Arial"/>
                <w:b/>
                <w:bCs/>
                <w:color w:val="111111"/>
                <w:sz w:val="20"/>
                <w:szCs w:val="20"/>
              </w:rPr>
              <w:t xml:space="preserve">Thai</w:t>
            </w:r>
          </w:p>
        </w:tc>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0.184</w:t>
            </w:r>
          </w:p>
        </w:tc>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0.597</w:t>
            </w:r>
          </w:p>
        </w:tc>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0.987</w:t>
            </w:r>
          </w:p>
        </w:tc>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0.850</w:t>
            </w:r>
          </w:p>
        </w:tc>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0.024</w:t>
            </w:r>
          </w:p>
        </w:tc>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0.976</w:t>
            </w:r>
          </w:p>
        </w:tc>
        <w:tc>
          <w:tcPr>
            <w:tcW w:type="dxa" w:w="1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146</w:t>
            </w:r>
          </w:p>
        </w:tc>
      </w:tr>
    </w:tbl>
    <w:p>
      <w:pPr>
        <w:spacing w:before="40" w:after="40"/>
      </w:pPr>
      <w:r>
        <w:t xml:space="preserve"/>
      </w:r>
    </w:p>
    <w:p>
      <w:pPr>
        <w:pStyle w:val="Heading2"/>
        <w:spacing w:before="260" w:after="120"/>
      </w:pPr>
      <w:r>
        <w:rPr>
          <w:rFonts w:ascii="Arial" w:cs="Arial" w:eastAsia="Arial" w:hAnsi="Arial"/>
          <w:b/>
          <w:bCs/>
          <w:color w:val="2E75B6"/>
          <w:sz w:val="28"/>
          <w:szCs w:val="28"/>
        </w:rPr>
        <w:t xml:space="preserve">5.1 Thai — The Outlier Leader (Mean F1: 0.184)</w:t>
      </w:r>
    </w:p>
    <w:p>
      <w:pPr>
        <w:spacing w:before="60" w:after="100" w:line="300"/>
        <w:jc w:val="both"/>
      </w:pPr>
      <w:r>
        <w:rPr>
          <w:rFonts w:ascii="Arial" w:cs="Arial" w:eastAsia="Arial" w:hAnsi="Arial"/>
          <w:i w:val="false"/>
          <w:iCs w:val="false"/>
          <w:color w:val="111111"/>
          <w:sz w:val="22"/>
          <w:szCs w:val="22"/>
        </w:rPr>
        <w:t xml:space="preserve">Thai's performance stands out dramatically from all other languages. At 0.184 mean token-F1, it is more than 3× the system-wide average of 0.073, and roughly 1.7× the next-best languages (Bengali 0.106, Telugu 0.100). Several factors explain this:</w:t>
      </w:r>
    </w:p>
    <w:p>
      <w:pPr>
        <w:pStyle w:val="ListParagraph"/>
        <w:numPr>
          <w:ilvl w:val="0"/>
          <w:numId w:val="2"/>
        </w:numPr>
        <w:spacing w:before="40" w:after="40" w:line="280"/>
      </w:pPr>
      <w:r>
        <w:rPr>
          <w:rFonts w:ascii="Arial" w:cs="Arial" w:eastAsia="Arial" w:hAnsi="Arial"/>
          <w:color w:val="111111"/>
          <w:sz w:val="22"/>
          <w:szCs w:val="22"/>
        </w:rPr>
        <w:t xml:space="preserve">Tokenisation alignment: Thai uses character-level tokenisation in this evaluation, and TyDiQA Thai answers tend to be short, specific noun phrases. The character-level unigram overlap naturally produces higher F1 than morphologically complex word-token comparisons.</w:t>
      </w:r>
    </w:p>
    <w:p>
      <w:pPr>
        <w:pStyle w:val="ListParagraph"/>
        <w:numPr>
          <w:ilvl w:val="0"/>
          <w:numId w:val="2"/>
        </w:numPr>
        <w:spacing w:before="40" w:after="40" w:line="280"/>
      </w:pPr>
      <w:r>
        <w:rPr>
          <w:rFonts w:ascii="Arial" w:cs="Arial" w:eastAsia="Arial" w:hAnsi="Arial"/>
          <w:color w:val="111111"/>
          <w:sz w:val="22"/>
          <w:szCs w:val="22"/>
        </w:rPr>
        <w:t xml:space="preserve">Evidence grounding: Thai achieves the highest evidence usage of all languages (mean 0.976) and the lowest hallucination rate (0.024). The model stays tightly within the evidence passage for Thai answers.</w:t>
      </w:r>
    </w:p>
    <w:p>
      <w:pPr>
        <w:pStyle w:val="ListParagraph"/>
        <w:numPr>
          <w:ilvl w:val="0"/>
          <w:numId w:val="2"/>
        </w:numPr>
        <w:spacing w:before="40" w:after="40" w:line="280"/>
      </w:pPr>
      <w:r>
        <w:rPr>
          <w:rFonts w:ascii="Arial" w:cs="Arial" w:eastAsia="Arial" w:hAnsi="Arial"/>
          <w:color w:val="111111"/>
          <w:sz w:val="22"/>
          <w:szCs w:val="22"/>
        </w:rPr>
        <w:t xml:space="preserve">Script purity: Thai script (mean SC=0.850) contains no Latin borrowings in these QA contexts, yielding clean, script-pure outputs.</w:t>
      </w:r>
    </w:p>
    <w:p>
      <w:pPr>
        <w:pStyle w:val="ListParagraph"/>
        <w:numPr>
          <w:ilvl w:val="0"/>
          <w:numId w:val="2"/>
        </w:numPr>
        <w:spacing w:before="40" w:after="40" w:line="280"/>
      </w:pPr>
      <w:r>
        <w:rPr>
          <w:rFonts w:ascii="Arial" w:cs="Arial" w:eastAsia="Arial" w:hAnsi="Arial"/>
          <w:color w:val="111111"/>
          <w:sz w:val="22"/>
          <w:szCs w:val="22"/>
        </w:rPr>
        <w:t xml:space="preserve">BERTScore alignment: Thai BERTScore-F1 of 0.597 is consistent with the group average, confirming the token-F1 advantage is genuine lexical overlap rather than embedding space compression.</w:t>
      </w:r>
    </w:p>
    <w:p>
      <w:pPr>
        <w:spacing w:before="60" w:after="100" w:line="300"/>
        <w:jc w:val="both"/>
      </w:pPr>
      <w:r>
        <w:rPr>
          <w:rFonts w:ascii="Arial" w:cs="Arial" w:eastAsia="Arial" w:hAnsi="Arial"/>
          <w:i w:val="false"/>
          <w:iCs w:val="false"/>
          <w:color w:val="111111"/>
          <w:sz w:val="22"/>
          <w:szCs w:val="22"/>
        </w:rPr>
        <w:t xml:space="preserve">Thai is the single language where Minimal (F1=0.186) and Explicit EN (F1=0.190) produce the highest scores while Strict (F1=0.176) is the weakest — the most pronounced strategy effect of any language. This is consistent with the hallucination trade-off: Thai benefits most from the minimally intrusive prompt that keeps the model fully focused on the evidence.</w:t>
      </w:r>
    </w:p>
    <w:p>
      <w:pPr>
        <w:pStyle w:val="Heading2"/>
        <w:spacing w:before="260" w:after="120"/>
      </w:pPr>
      <w:r>
        <w:rPr>
          <w:rFonts w:ascii="Arial" w:cs="Arial" w:eastAsia="Arial" w:hAnsi="Arial"/>
          <w:b/>
          <w:bCs/>
          <w:color w:val="2E75B6"/>
          <w:sz w:val="28"/>
          <w:szCs w:val="28"/>
        </w:rPr>
        <w:t xml:space="preserve">5.2 Bengali and Telugu — Strong Low-Hallucination Performers</w:t>
      </w:r>
    </w:p>
    <w:p>
      <w:pPr>
        <w:spacing w:before="60" w:after="100" w:line="300"/>
        <w:jc w:val="both"/>
      </w:pPr>
      <w:r>
        <w:rPr>
          <w:rFonts w:ascii="Arial" w:cs="Arial" w:eastAsia="Arial" w:hAnsi="Arial"/>
          <w:i w:val="false"/>
          <w:iCs w:val="false"/>
          <w:color w:val="111111"/>
          <w:sz w:val="22"/>
          <w:szCs w:val="22"/>
        </w:rPr>
        <w:t xml:space="preserve">Bengali (mean F1=0.106) and Telugu (mean F1=0.100) are the next-best performers, each benefiting from low hallucination rates (Bengali 0.039, Telugu 0.045) and very high evidence usage (Bengali 0.959, Telugu 0.950). Both use distinctive scripts with no Latin overlap in QA contexts, and TyDiQA samples for these languages tend to have concise reference answers that the model's character-level token F1 captures effectively.</w:t>
      </w:r>
    </w:p>
    <w:p>
      <w:pPr>
        <w:spacing w:before="60" w:after="100" w:line="300"/>
        <w:jc w:val="both"/>
      </w:pPr>
      <w:r>
        <w:rPr>
          <w:rFonts w:ascii="Arial" w:cs="Arial" w:eastAsia="Arial" w:hAnsi="Arial"/>
          <w:i w:val="false"/>
          <w:iCs w:val="false"/>
          <w:color w:val="111111"/>
          <w:sz w:val="22"/>
          <w:szCs w:val="22"/>
        </w:rPr>
        <w:t xml:space="preserve">Telugu's mean answer length of just 13.6 tokens (median 7) reveals that the model produces very short, direct extractions for this language — behaviorally closer to span extraction than to the verbose explanatory style seen in Arabic, English, or Finnish. This compactness is the primary driver of Telugu's above-average F1.</w:t>
      </w:r>
    </w:p>
    <w:p>
      <w:pPr>
        <w:pStyle w:val="Heading2"/>
        <w:spacing w:before="260" w:after="120"/>
      </w:pPr>
      <w:r>
        <w:rPr>
          <w:rFonts w:ascii="Arial" w:cs="Arial" w:eastAsia="Arial" w:hAnsi="Arial"/>
          <w:b/>
          <w:bCs/>
          <w:color w:val="2E75B6"/>
          <w:sz w:val="28"/>
          <w:szCs w:val="28"/>
        </w:rPr>
        <w:t xml:space="preserve">5.3 Finnish — Best Latin-Script Performer (Mean F1: 0.066)</w:t>
      </w:r>
    </w:p>
    <w:p>
      <w:pPr>
        <w:spacing w:before="60" w:after="100" w:line="300"/>
        <w:jc w:val="both"/>
      </w:pPr>
      <w:r>
        <w:rPr>
          <w:rFonts w:ascii="Arial" w:cs="Arial" w:eastAsia="Arial" w:hAnsi="Arial"/>
          <w:i w:val="false"/>
          <w:iCs w:val="false"/>
          <w:color w:val="111111"/>
          <w:sz w:val="22"/>
          <w:szCs w:val="22"/>
        </w:rPr>
        <w:t xml:space="preserve">Among Latin-script languages, Finnish achieves the highest F1 (0.066–0.071 across strategies). Finnish also shows the highest script consistency (0.823) among all languages. However, Finnish suffers the most from strategy escalation: hallucination more than doubles from 0.090 (Minimal) to 0.156 (Explicit Native), the second-largest increase of any language. Finnish's rich agglutinative morphology makes exact token matching difficult — a single morphological variant of the reference answer token will score zero on token-F1 despite being semantically correct.</w:t>
      </w:r>
    </w:p>
    <w:p>
      <w:pPr>
        <w:pStyle w:val="Heading2"/>
        <w:spacing w:before="260" w:after="120"/>
      </w:pPr>
      <w:r>
        <w:rPr>
          <w:rFonts w:ascii="Arial" w:cs="Arial" w:eastAsia="Arial" w:hAnsi="Arial"/>
          <w:b/>
          <w:bCs/>
          <w:color w:val="2E75B6"/>
          <w:sz w:val="28"/>
          <w:szCs w:val="28"/>
        </w:rPr>
        <w:t xml:space="preserve">5.4 Arabic — Consistent but Modestly Performing (Mean F1: 0.052)</w:t>
      </w:r>
    </w:p>
    <w:p>
      <w:pPr>
        <w:spacing w:before="60" w:after="100" w:line="300"/>
        <w:jc w:val="both"/>
      </w:pPr>
      <w:r>
        <w:rPr>
          <w:rFonts w:ascii="Arial" w:cs="Arial" w:eastAsia="Arial" w:hAnsi="Arial"/>
          <w:i w:val="false"/>
          <w:iCs w:val="false"/>
          <w:color w:val="111111"/>
          <w:sz w:val="22"/>
          <w:szCs w:val="22"/>
        </w:rPr>
        <w:t xml:space="preserve">Arabic performs at 0.052 mean F1, below what its high-resource status would predict. The moderate performance has multiple contributing factors. Arabic's fusional, right-to-left morphology means that the model's generated text often uses morphological variants of reference tokens (different diacritics, hamza forms, alef variants). The normalisation in the evaluation (alef unification, teh marbuta) partially addresses this, but complex Arabic inflection still prevents token matches. Arabic also shows the most pronounced strategy hallucination escalation in absolute terms (0.104 to 0.148, a 42% increase). Despite this, Arabic's BERTScore-F1 (0.578) is above the system mean, confirming semantic alignment even when surface overlap is poor.</w:t>
      </w:r>
    </w:p>
    <w:p>
      <w:pPr>
        <w:pStyle w:val="Heading2"/>
        <w:spacing w:before="260" w:after="120"/>
      </w:pPr>
      <w:r>
        <w:rPr>
          <w:rFonts w:ascii="Arial" w:cs="Arial" w:eastAsia="Arial" w:hAnsi="Arial"/>
          <w:b/>
          <w:bCs/>
          <w:color w:val="2E75B6"/>
          <w:sz w:val="28"/>
          <w:szCs w:val="28"/>
        </w:rPr>
        <w:t xml:space="preserve">5.5 Swahili — The Performance Floor (Mean F1: 0.023)</w:t>
      </w:r>
    </w:p>
    <w:p>
      <w:pPr>
        <w:spacing w:before="60" w:after="100" w:line="300"/>
        <w:jc w:val="both"/>
      </w:pPr>
      <w:r>
        <w:rPr>
          <w:rFonts w:ascii="Arial" w:cs="Arial" w:eastAsia="Arial" w:hAnsi="Arial"/>
          <w:i w:val="false"/>
          <w:iCs w:val="false"/>
          <w:color w:val="111111"/>
          <w:sz w:val="22"/>
          <w:szCs w:val="22"/>
        </w:rPr>
        <w:t xml:space="preserve">Swahili is the weakest performer across all metrics. Its token-F1 of 0.023 is less than one-third of the system mean. The causes are multi-factorial: Swahili is the only low-resource language using Latin script, meaning the model cannot distinguish it clearly from English or Indonesian during generation. The evaluation's evidence usage heuristic penalises Swahili heavily because the model tends to generate longer, explanatory responses (mean 289 tokens) with significant paraphrasing rather than lexical copying, leading to high measured hallucination (mean 0.133) even when the semantic content is correct. Swahili's BERTScore-F1 (0.517) is the lowest of all languages — confirming that even at the semantic level, Swahili answers are less aligned with references than other languages.</w:t>
      </w:r>
    </w:p>
    <w:p>
      <w:pPr>
        <w:pStyle w:val="Heading2"/>
        <w:spacing w:before="260" w:after="120"/>
      </w:pPr>
      <w:r>
        <w:rPr>
          <w:rFonts w:ascii="Arial" w:cs="Arial" w:eastAsia="Arial" w:hAnsi="Arial"/>
          <w:b/>
          <w:bCs/>
          <w:color w:val="2E75B6"/>
          <w:sz w:val="28"/>
          <w:szCs w:val="28"/>
        </w:rPr>
        <w:t xml:space="preserve">5.6 Russian — High Resource, Moderate Performance (Mean F1: 0.053)</w:t>
      </w:r>
    </w:p>
    <w:p>
      <w:pPr>
        <w:spacing w:before="60" w:after="100" w:line="300"/>
        <w:jc w:val="both"/>
      </w:pPr>
      <w:r>
        <w:rPr>
          <w:rFonts w:ascii="Arial" w:cs="Arial" w:eastAsia="Arial" w:hAnsi="Arial"/>
          <w:i w:val="false"/>
          <w:iCs w:val="false"/>
          <w:color w:val="111111"/>
          <w:sz w:val="22"/>
          <w:szCs w:val="22"/>
        </w:rPr>
        <w:t xml:space="preserve">Russian's performance (mean F1=0.053) is slightly below the system average despite being a high-resource language well-represented in EuroLLM's training data. Russian suffers the largest absolute hallucination increase under stricter prompting (0.093 → 0.158), suggesting the model generates significantly more paraphrased content when the prompt includes strong meta-instructions. Russian's Cyrillic script achieves perfect LMR (1.000 in three of four strategies) and solid SC (mean 0.732), so language adherence is not the issue — it is the generative verbosity and morphological richness that reduce token-F1.</w:t>
      </w:r>
    </w:p>
    <w:p>
      <w:pPr>
        <w:pStyle w:val="Heading2"/>
        <w:spacing w:before="260" w:after="120"/>
      </w:pPr>
      <w:r>
        <w:rPr>
          <w:rFonts w:ascii="Arial" w:cs="Arial" w:eastAsia="Arial" w:hAnsi="Arial"/>
          <w:b/>
          <w:bCs/>
          <w:color w:val="2E75B6"/>
          <w:sz w:val="28"/>
          <w:szCs w:val="28"/>
        </w:rPr>
        <w:t xml:space="preserve">5.7 Japanese and Korean — Script Reliability, Low F1</w:t>
      </w:r>
    </w:p>
    <w:p>
      <w:pPr>
        <w:spacing w:before="60" w:after="100" w:line="300"/>
        <w:jc w:val="both"/>
      </w:pPr>
      <w:r>
        <w:rPr>
          <w:rFonts w:ascii="Arial" w:cs="Arial" w:eastAsia="Arial" w:hAnsi="Arial"/>
          <w:i w:val="false"/>
          <w:iCs w:val="false"/>
          <w:color w:val="111111"/>
          <w:sz w:val="22"/>
          <w:szCs w:val="22"/>
        </w:rPr>
        <w:t xml:space="preserve">Japanese (0.056) and Korean (0.049) sit slightly below average on F1 despite strong language adherence (LMR ~0.978 and ~0.993 respectively). Both use character-level tokenisation, but their TyDiQA answer spans tend to be longer and more contextually embedded than Thai's, reducing unigram overlap. Korean's extreme mean answer length (~486 tokens per strategy) indicates the model is generating lengthy Korean passages rather than short spans. This verbosity is the primary driver of Korean's below-average performance: with 484 tokens of generated text against a reference span of perhaps 5–10 characters, unigram precision collapses. Japanese achieves the lowest hallucination rate among all languages (mean 0.032), making it the most evidence-grounded responder in the system — a positive indicator that its low F1 is a length/extraction problem, not a comprehension problem.</w:t>
      </w:r>
    </w:p>
    <w:p>
      <w:r>
        <w:br w:type="page"/>
      </w:r>
    </w:p>
    <w:p>
      <w:pPr>
        <w:pStyle w:val="Heading1"/>
        <w:pBdr>
          <w:bottom w:val="single" w:color="2E75B6" w:sz="6" w:space="1"/>
        </w:pBdr>
        <w:spacing w:before="320" w:after="160"/>
      </w:pPr>
      <w:r>
        <w:rPr>
          <w:rFonts w:ascii="Arial" w:cs="Arial" w:eastAsia="Arial" w:hAnsi="Arial"/>
          <w:b/>
          <w:bCs/>
          <w:color w:val="1E3A5F"/>
          <w:sz w:val="36"/>
          <w:szCs w:val="36"/>
        </w:rPr>
        <w:t xml:space="preserve">6. Error Distribution Analysis</w:t>
      </w:r>
    </w:p>
    <w:p>
      <w:pPr>
        <w:spacing w:before="60" w:after="100" w:line="300"/>
        <w:jc w:val="both"/>
      </w:pPr>
      <w:r>
        <w:rPr>
          <w:rFonts w:ascii="Arial" w:cs="Arial" w:eastAsia="Arial" w:hAnsi="Arial"/>
          <w:i w:val="false"/>
          <w:iCs w:val="false"/>
          <w:color w:val="111111"/>
          <w:sz w:val="22"/>
          <w:szCs w:val="22"/>
        </w:rPr>
        <w:t xml:space="preserve">The error distribution visualisation (image 6) reveals that partial_code_switch (orange) and correct (grey) dominate all four strategy subplots. This nomenclature can be initially misleading: 'correct' in this context means the response passed all heuristic checks (correct script, adequate length, grounded content, non-refusal), not that it matched the reference answer — the zero exact match rate confirms this.</w:t>
      </w:r>
    </w:p>
    <w:p>
      <w:pPr>
        <w:spacing w:before="40" w:after="40"/>
      </w:pPr>
      <w:r>
        <w:t xml:space="preserve"/>
      </w:r>
    </w:p>
    <w:p>
      <w:pPr>
        <w:pStyle w:val="Heading2"/>
        <w:spacing w:before="260" w:after="120"/>
      </w:pPr>
      <w:r>
        <w:rPr>
          <w:rFonts w:ascii="Arial" w:cs="Arial" w:eastAsia="Arial" w:hAnsi="Arial"/>
          <w:b/>
          <w:bCs/>
          <w:color w:val="2E75B6"/>
          <w:sz w:val="28"/>
          <w:szCs w:val="28"/>
        </w:rPr>
        <w:t xml:space="preserve">6.1 Dominant Error Type: Partial Code-Switch</w:t>
      </w:r>
    </w:p>
    <w:p>
      <w:pPr>
        <w:spacing w:before="60" w:after="100" w:line="300"/>
        <w:jc w:val="both"/>
      </w:pPr>
      <w:r>
        <w:rPr>
          <w:rFonts w:ascii="Arial" w:cs="Arial" w:eastAsia="Arial" w:hAnsi="Arial"/>
          <w:i w:val="false"/>
          <w:iCs w:val="false"/>
          <w:color w:val="111111"/>
          <w:sz w:val="22"/>
          <w:szCs w:val="22"/>
        </w:rPr>
        <w:t xml:space="preserve">The orange partial_code_switch category dominates for most languages across all strategies, representing 20–90% of responses for individual languages. This error fires when 20–80% of characters belong to the target script (the SC is between 0.2 and 0.8). Given that script consistency values typically range 0.60–0.86 for non-Latin-script languages, the partial_code_switch rate captures a genuine phenomenon: the model routinely mixes numbers, Latin punctuation, and occasional English words into otherwise correct-script responses. This is linguistically natural for many of these languages (modern Korean, for instance, freely incorporates English loan words and numerals) but the strict character-counting heuristic flags it as an error.</w:t>
      </w:r>
    </w:p>
    <w:p>
      <w:pPr>
        <w:spacing w:before="40" w:after="40"/>
      </w:pPr>
      <w:r>
        <w:t xml:space="preserve"/>
      </w:r>
    </w:p>
    <w:p>
      <w:pPr>
        <w:pStyle w:val="Heading2"/>
        <w:spacing w:before="260" w:after="120"/>
      </w:pPr>
      <w:r>
        <w:rPr>
          <w:rFonts w:ascii="Arial" w:cs="Arial" w:eastAsia="Arial" w:hAnsi="Arial"/>
          <w:b/>
          <w:bCs/>
          <w:color w:val="2E75B6"/>
          <w:sz w:val="28"/>
          <w:szCs w:val="28"/>
        </w:rPr>
        <w:t xml:space="preserve">6.2 Wrong Language Errors</w:t>
      </w:r>
    </w:p>
    <w:p>
      <w:pPr>
        <w:spacing w:before="60" w:after="100" w:line="300"/>
        <w:jc w:val="both"/>
      </w:pPr>
      <w:r>
        <w:rPr>
          <w:rFonts w:ascii="Arial" w:cs="Arial" w:eastAsia="Arial" w:hAnsi="Arial"/>
          <w:i w:val="false"/>
          <w:iCs w:val="false"/>
          <w:color w:val="111111"/>
          <w:sz w:val="22"/>
          <w:szCs w:val="22"/>
        </w:rPr>
        <w:t xml:space="preserve">True wrong-language responses (blue) are rare but not zero. Japanese shows the highest wrong-language rate (~3% under some strategies), consistent with its lower LMR of 0.977. Arabic (blue bar just visible in some plots) shows about 1% wrong-language responses. Most other languages show essentially zero wrong-language responses, confirming EuroLLM-9B-Instruct's strong language following even at the 200-sample level.</w:t>
      </w:r>
    </w:p>
    <w:p>
      <w:pPr>
        <w:spacing w:before="40" w:after="40"/>
      </w:pPr>
      <w:r>
        <w:t xml:space="preserve"/>
      </w:r>
    </w:p>
    <w:p>
      <w:pPr>
        <w:pStyle w:val="Heading2"/>
        <w:spacing w:before="260" w:after="120"/>
      </w:pPr>
      <w:r>
        <w:rPr>
          <w:rFonts w:ascii="Arial" w:cs="Arial" w:eastAsia="Arial" w:hAnsi="Arial"/>
          <w:b/>
          <w:bCs/>
          <w:color w:val="2E75B6"/>
          <w:sz w:val="28"/>
          <w:szCs w:val="28"/>
        </w:rPr>
        <w:t xml:space="preserve">6.3 Too-Short Responses</w:t>
      </w:r>
    </w:p>
    <w:p>
      <w:pPr>
        <w:spacing w:before="60" w:after="100" w:line="300"/>
        <w:jc w:val="both"/>
      </w:pPr>
      <w:r>
        <w:rPr>
          <w:rFonts w:ascii="Arial" w:cs="Arial" w:eastAsia="Arial" w:hAnsi="Arial"/>
          <w:i w:val="false"/>
          <w:iCs w:val="false"/>
          <w:color w:val="111111"/>
          <w:sz w:val="22"/>
          <w:szCs w:val="22"/>
        </w:rPr>
        <w:t xml:space="preserve">The too_short error (red) is visible primarily for Telugu and Swahili under some strategies, reflecting responses shorter than 3 tokens by the language-appropriate tokeniser. For Telugu this is counterintuitively positive: very short responses are often accurate extractions (a name, a year, a place). For Swahili, too-short responses indicate the model occasionally produces empty or near-empty outputs, a failure mode not seen in other languages.</w:t>
      </w:r>
    </w:p>
    <w:p>
      <w:pPr>
        <w:spacing w:before="40" w:after="40"/>
      </w:pPr>
      <w:r>
        <w:t xml:space="preserve"/>
      </w:r>
    </w:p>
    <w:p>
      <w:pPr>
        <w:pStyle w:val="Heading2"/>
        <w:spacing w:before="260" w:after="120"/>
      </w:pPr>
      <w:r>
        <w:rPr>
          <w:rFonts w:ascii="Arial" w:cs="Arial" w:eastAsia="Arial" w:hAnsi="Arial"/>
          <w:b/>
          <w:bCs/>
          <w:color w:val="2E75B6"/>
          <w:sz w:val="28"/>
          <w:szCs w:val="28"/>
        </w:rPr>
        <w:t xml:space="preserve">6.4 Refusal Behaviour</w:t>
      </w:r>
    </w:p>
    <w:p>
      <w:pPr>
        <w:spacing w:before="60" w:after="100" w:line="300"/>
        <w:jc w:val="both"/>
      </w:pPr>
      <w:r>
        <w:rPr>
          <w:rFonts w:ascii="Arial" w:cs="Arial" w:eastAsia="Arial" w:hAnsi="Arial"/>
          <w:i w:val="false"/>
          <w:iCs w:val="false"/>
          <w:color w:val="111111"/>
          <w:sz w:val="22"/>
          <w:szCs w:val="22"/>
        </w:rPr>
        <w:t xml:space="preserve">Refusal responses (responses containing 'cannot', 'unable', 'no information', etc.) are visible only for Telugu under the Explicit Native strategy (approximately 5–8% of responses). This is a noteworthy side-effect of the native-script prompt framing: the Telugu instruction '[Respond in తెలుగు / Telugu ONLY]' appears to occasionally trigger the model to state that it cannot answer, possibly due to the non-standard bracket formatting being parsed as a restriction rather than an instruction. No other language shows meaningful refusal rates.</w:t>
      </w:r>
    </w:p>
    <w:p>
      <w:r>
        <w:br w:type="page"/>
      </w:r>
    </w:p>
    <w:p>
      <w:pPr>
        <w:pStyle w:val="Heading1"/>
        <w:pBdr>
          <w:bottom w:val="single" w:color="2E75B6" w:sz="6" w:space="1"/>
        </w:pBdr>
        <w:spacing w:before="320" w:after="160"/>
      </w:pPr>
      <w:r>
        <w:rPr>
          <w:rFonts w:ascii="Arial" w:cs="Arial" w:eastAsia="Arial" w:hAnsi="Arial"/>
          <w:b/>
          <w:bCs/>
          <w:color w:val="1E3A5F"/>
          <w:sz w:val="36"/>
          <w:szCs w:val="36"/>
        </w:rPr>
        <w:t xml:space="preserve">7. Typological Analysis — Language Family, Morphology, and Resources</w:t>
      </w:r>
    </w:p>
    <w:p>
      <w:pPr>
        <w:spacing w:before="40" w:after="140"/>
        <w:jc w:val="center"/>
      </w:pPr>
      <w:r>
        <w:rPr>
          <w:rFonts w:ascii="Arial" w:cs="Arial" w:eastAsia="Arial" w:hAnsi="Arial"/>
          <w:i/>
          <w:iCs/>
          <w:color w:val="717D7E"/>
          <w:sz w:val="18"/>
          <w:szCs w:val="18"/>
        </w:rPr>
        <w:t xml:space="preserve">Table 5. F1 Score by Typological Dimension (mean across all strategies).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1200"/>
        <w:gridCol w:w="1000"/>
      </w:tblGrid>
      <w:tr>
        <w:trPr>
          <w:tblHeader/>
        </w:trPr>
        <w:tc>
          <w:tcPr>
            <w:tcW w:type="dxa" w:w="12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Dimension</w:t>
            </w:r>
          </w:p>
        </w:tc>
        <w:tc>
          <w:tcPr>
            <w:tcW w:type="dxa" w:w="12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Group</w:t>
            </w:r>
          </w:p>
        </w:tc>
        <w:tc>
          <w:tcPr>
            <w:tcW w:type="dxa" w:w="12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Languages</w:t>
            </w:r>
          </w:p>
        </w:tc>
        <w:tc>
          <w:tcPr>
            <w:tcW w:type="dxa" w:w="12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Mean F1</w:t>
            </w:r>
          </w:p>
        </w:tc>
        <w:tc>
          <w:tcPr>
            <w:tcW w:type="dxa" w:w="12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BS-F1</w:t>
            </w:r>
          </w:p>
        </w:tc>
        <w:tc>
          <w:tcPr>
            <w:tcW w:type="dxa" w:w="12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Hall.</w:t>
            </w:r>
          </w:p>
        </w:tc>
        <w:tc>
          <w:tcPr>
            <w:tcW w:type="dxa" w:w="10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left"/>
            </w:pPr>
            <w:r>
              <w:rPr>
                <w:rFonts w:ascii="Arial" w:cs="Arial" w:eastAsia="Arial" w:hAnsi="Arial"/>
                <w:b/>
                <w:bCs/>
                <w:color w:val="111111"/>
                <w:sz w:val="20"/>
                <w:szCs w:val="20"/>
              </w:rPr>
              <w:t xml:space="preserve">Morphology</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Analytic</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English, Thai</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0.121</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0.582</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0.037</w:t>
            </w:r>
          </w:p>
        </w:tc>
        <w:tc>
          <w:tcPr>
            <w:tcW w:type="dxa" w:w="1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Best performing group</w:t>
            </w:r>
          </w:p>
        </w:tc>
      </w:tr>
      <w:tr>
        <w:tc>
          <w:tcPr>
            <w:tcW w:type="dxa" w:w="12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left"/>
            </w:pPr>
            <w:r>
              <w:rPr>
                <w:rFonts w:ascii="Arial" w:cs="Arial" w:eastAsia="Arial" w:hAnsi="Arial"/>
                <w:b/>
                <w:bCs/>
                <w:color w:val="111111"/>
                <w:sz w:val="20"/>
                <w:szCs w:val="20"/>
              </w:rPr>
              <w:t xml:space="preserve">Morphology</w:t>
            </w:r>
          </w:p>
        </w:tc>
        <w:tc>
          <w:tcPr>
            <w:tcW w:type="dxa" w:w="12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Fusional</w:t>
            </w:r>
          </w:p>
        </w:tc>
        <w:tc>
          <w:tcPr>
            <w:tcW w:type="dxa" w:w="12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Arabic, Bengali, Russian</w:t>
            </w:r>
          </w:p>
        </w:tc>
        <w:tc>
          <w:tcPr>
            <w:tcW w:type="dxa" w:w="12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0.070</w:t>
            </w:r>
          </w:p>
        </w:tc>
        <w:tc>
          <w:tcPr>
            <w:tcW w:type="dxa" w:w="12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0.587</w:t>
            </w:r>
          </w:p>
        </w:tc>
        <w:tc>
          <w:tcPr>
            <w:tcW w:type="dxa" w:w="12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0.083</w:t>
            </w:r>
          </w:p>
        </w:tc>
        <w:tc>
          <w:tcPr>
            <w:tcW w:type="dxa" w:w="10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Mixed range</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left"/>
            </w:pPr>
            <w:r>
              <w:rPr>
                <w:rFonts w:ascii="Arial" w:cs="Arial" w:eastAsia="Arial" w:hAnsi="Arial"/>
                <w:b/>
                <w:bCs/>
                <w:color w:val="111111"/>
                <w:sz w:val="20"/>
                <w:szCs w:val="20"/>
              </w:rPr>
              <w:t xml:space="preserve">Morphology</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Agglutinative</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Finnish, Indon., Jpn, Kor, Swahili, Telugu</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0.061</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0.572</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0.074</w:t>
            </w:r>
          </w:p>
        </w:tc>
        <w:tc>
          <w:tcPr>
            <w:tcW w:type="dxa" w:w="1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Lowest group</w:t>
            </w:r>
          </w:p>
        </w:tc>
      </w:tr>
      <w:tr>
        <w:tc>
          <w:tcPr>
            <w:tcW w:type="dxa" w:w="12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left"/>
            </w:pPr>
            <w:r>
              <w:rPr>
                <w:rFonts w:ascii="Arial" w:cs="Arial" w:eastAsia="Arial" w:hAnsi="Arial"/>
                <w:b/>
                <w:bCs/>
                <w:color w:val="111111"/>
                <w:sz w:val="20"/>
                <w:szCs w:val="20"/>
              </w:rPr>
              <w:t xml:space="preserve">Word Order</w:t>
            </w:r>
          </w:p>
        </w:tc>
        <w:tc>
          <w:tcPr>
            <w:tcW w:type="dxa" w:w="12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SOV</w:t>
            </w:r>
          </w:p>
        </w:tc>
        <w:tc>
          <w:tcPr>
            <w:tcW w:type="dxa" w:w="12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Bengali, Jpn, Korean, Telugu</w:t>
            </w:r>
          </w:p>
        </w:tc>
        <w:tc>
          <w:tcPr>
            <w:tcW w:type="dxa" w:w="12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0.078</w:t>
            </w:r>
          </w:p>
        </w:tc>
        <w:tc>
          <w:tcPr>
            <w:tcW w:type="dxa" w:w="12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0.588</w:t>
            </w:r>
          </w:p>
        </w:tc>
        <w:tc>
          <w:tcPr>
            <w:tcW w:type="dxa" w:w="12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0.037</w:t>
            </w:r>
          </w:p>
        </w:tc>
        <w:tc>
          <w:tcPr>
            <w:tcW w:type="dxa" w:w="10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High overlap</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left"/>
            </w:pPr>
            <w:r>
              <w:rPr>
                <w:rFonts w:ascii="Arial" w:cs="Arial" w:eastAsia="Arial" w:hAnsi="Arial"/>
                <w:b/>
                <w:bCs/>
                <w:color w:val="111111"/>
                <w:sz w:val="20"/>
                <w:szCs w:val="20"/>
              </w:rPr>
              <w:t xml:space="preserve">Word Order</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SVO</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Eng, Fin, Indon, Rus, Swa, Thai</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0.075</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0.568</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0.098</w:t>
            </w:r>
          </w:p>
        </w:tc>
        <w:tc>
          <w:tcPr>
            <w:tcW w:type="dxa" w:w="1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High hallucination</w:t>
            </w:r>
          </w:p>
        </w:tc>
      </w:tr>
      <w:tr>
        <w:tc>
          <w:tcPr>
            <w:tcW w:type="dxa" w:w="12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left"/>
            </w:pPr>
            <w:r>
              <w:rPr>
                <w:rFonts w:ascii="Arial" w:cs="Arial" w:eastAsia="Arial" w:hAnsi="Arial"/>
                <w:b/>
                <w:bCs/>
                <w:color w:val="111111"/>
                <w:sz w:val="20"/>
                <w:szCs w:val="20"/>
              </w:rPr>
              <w:t xml:space="preserve">Word Order</w:t>
            </w:r>
          </w:p>
        </w:tc>
        <w:tc>
          <w:tcPr>
            <w:tcW w:type="dxa" w:w="12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VSO</w:t>
            </w:r>
          </w:p>
        </w:tc>
        <w:tc>
          <w:tcPr>
            <w:tcW w:type="dxa" w:w="12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Arabic</w:t>
            </w:r>
          </w:p>
        </w:tc>
        <w:tc>
          <w:tcPr>
            <w:tcW w:type="dxa" w:w="12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0.055</w:t>
            </w:r>
          </w:p>
        </w:tc>
        <w:tc>
          <w:tcPr>
            <w:tcW w:type="dxa" w:w="12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0.578</w:t>
            </w:r>
          </w:p>
        </w:tc>
        <w:tc>
          <w:tcPr>
            <w:tcW w:type="dxa" w:w="12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0.133</w:t>
            </w:r>
          </w:p>
        </w:tc>
        <w:tc>
          <w:tcPr>
            <w:tcW w:type="dxa" w:w="10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Single language</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left"/>
            </w:pPr>
            <w:r>
              <w:rPr>
                <w:rFonts w:ascii="Arial" w:cs="Arial" w:eastAsia="Arial" w:hAnsi="Arial"/>
                <w:b/>
                <w:bCs/>
                <w:color w:val="111111"/>
                <w:sz w:val="20"/>
                <w:szCs w:val="20"/>
              </w:rPr>
              <w:t xml:space="preserve">Resource</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High</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Arabic, Eng, Jpn, Korean, Russian</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0.053</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0.570</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0.065</w:t>
            </w:r>
          </w:p>
        </w:tc>
        <w:tc>
          <w:tcPr>
            <w:tcW w:type="dxa" w:w="1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Counterintuitive low F1</w:t>
            </w:r>
          </w:p>
        </w:tc>
      </w:tr>
      <w:tr>
        <w:tc>
          <w:tcPr>
            <w:tcW w:type="dxa" w:w="12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left"/>
            </w:pPr>
            <w:r>
              <w:rPr>
                <w:rFonts w:ascii="Arial" w:cs="Arial" w:eastAsia="Arial" w:hAnsi="Arial"/>
                <w:b/>
                <w:bCs/>
                <w:color w:val="111111"/>
                <w:sz w:val="20"/>
                <w:szCs w:val="20"/>
              </w:rPr>
              <w:t xml:space="preserve">Resource</w:t>
            </w:r>
          </w:p>
        </w:tc>
        <w:tc>
          <w:tcPr>
            <w:tcW w:type="dxa" w:w="12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Medium</w:t>
            </w:r>
          </w:p>
        </w:tc>
        <w:tc>
          <w:tcPr>
            <w:tcW w:type="dxa" w:w="12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Bengali, Finnish, Indonesian, Thai</w:t>
            </w:r>
          </w:p>
        </w:tc>
        <w:tc>
          <w:tcPr>
            <w:tcW w:type="dxa" w:w="12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0.106</w:t>
            </w:r>
          </w:p>
        </w:tc>
        <w:tc>
          <w:tcPr>
            <w:tcW w:type="dxa" w:w="12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0.578</w:t>
            </w:r>
          </w:p>
        </w:tc>
        <w:tc>
          <w:tcPr>
            <w:tcW w:type="dxa" w:w="12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0.085</w:t>
            </w:r>
          </w:p>
        </w:tc>
        <w:tc>
          <w:tcPr>
            <w:tcW w:type="dxa" w:w="1000"/>
            <w:tcBorders>
              <w:top w:val="single" w:color="DDDDDD" w:sz="1"/>
              <w:left w:val="single" w:color="DDDDDD" w:sz="1"/>
              <w:bottom w:val="single" w:color="DDDDDD" w:sz="1"/>
              <w:right w:val="single" w:color="DDDDDD" w:sz="1"/>
            </w:tcBorders>
            <w:shd w:fill="F2F3F4"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Highest F1</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left"/>
            </w:pPr>
            <w:r>
              <w:rPr>
                <w:rFonts w:ascii="Arial" w:cs="Arial" w:eastAsia="Arial" w:hAnsi="Arial"/>
                <w:b/>
                <w:bCs/>
                <w:color w:val="111111"/>
                <w:sz w:val="20"/>
                <w:szCs w:val="20"/>
              </w:rPr>
              <w:t xml:space="preserve">Resource</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Low</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Swahili, Telugu</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0.064</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0.564</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0.043</w:t>
            </w:r>
          </w:p>
        </w:tc>
        <w:tc>
          <w:tcPr>
            <w:tcW w:type="dxa" w:w="1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22222"/>
                <w:sz w:val="20"/>
                <w:szCs w:val="20"/>
              </w:rPr>
              <w:t xml:space="preserve">Low hallucination</w:t>
            </w:r>
          </w:p>
        </w:tc>
      </w:tr>
    </w:tbl>
    <w:p>
      <w:pPr>
        <w:spacing w:before="40" w:after="40"/>
      </w:pPr>
      <w:r>
        <w:t xml:space="preserve"/>
      </w:r>
    </w:p>
    <w:p>
      <w:pPr>
        <w:pStyle w:val="Heading2"/>
        <w:spacing w:before="260" w:after="120"/>
      </w:pPr>
      <w:r>
        <w:rPr>
          <w:rFonts w:ascii="Arial" w:cs="Arial" w:eastAsia="Arial" w:hAnsi="Arial"/>
          <w:b/>
          <w:bCs/>
          <w:color w:val="2E75B6"/>
          <w:sz w:val="28"/>
          <w:szCs w:val="28"/>
        </w:rPr>
        <w:t xml:space="preserve">7.1 Morphological Type</w:t>
      </w:r>
    </w:p>
    <w:p>
      <w:pPr>
        <w:spacing w:before="60" w:after="100" w:line="300"/>
        <w:jc w:val="both"/>
      </w:pPr>
      <w:r>
        <w:rPr>
          <w:rFonts w:ascii="Arial" w:cs="Arial" w:eastAsia="Arial" w:hAnsi="Arial"/>
          <w:i w:val="false"/>
          <w:iCs w:val="false"/>
          <w:color w:val="111111"/>
          <w:sz w:val="22"/>
          <w:szCs w:val="22"/>
        </w:rPr>
        <w:t xml:space="preserve">The morphology boxplot (image 13) reveals a clear stratification: analytic languages (English, Thai; mean F1=0.121) substantially outperform fusional languages (Arabic, Bengali, Russian; mean F1=0.070), which in turn outperform agglutinative languages (Finnish, Indonesian, Japanese, Korean, Swahili, Telugu; mean F1=0.061).</w:t>
      </w:r>
    </w:p>
    <w:p>
      <w:pPr>
        <w:spacing w:before="40" w:after="40"/>
      </w:pPr>
      <w:r>
        <w:t xml:space="preserve"/>
      </w:r>
    </w:p>
    <w:p>
      <w:pPr>
        <w:spacing w:before="60" w:after="100" w:line="300"/>
        <w:jc w:val="both"/>
      </w:pPr>
      <w:r>
        <w:rPr>
          <w:rFonts w:ascii="Arial" w:cs="Arial" w:eastAsia="Arial" w:hAnsi="Arial"/>
          <w:i w:val="false"/>
          <w:iCs w:val="false"/>
          <w:color w:val="111111"/>
          <w:sz w:val="22"/>
          <w:szCs w:val="22"/>
        </w:rPr>
        <w:t xml:space="preserve">However, this ranking is largely driven by the Thai outlier. Thai is the highest-performing language in the dataset and is classified as analytic, inflating the analytic group mean. Without Thai, analytic languages (English only) score just 0.054, which is below even the agglutinative group mean. This confound means that morphological type per se is not a clean predictor of performance — language-specific factors (answer length, script, tokenisation method) and outlier effects dominate.</w:t>
      </w:r>
    </w:p>
    <w:p>
      <w:pPr>
        <w:spacing w:before="40" w:after="40"/>
      </w:pPr>
      <w:r>
        <w:t xml:space="preserve"/>
      </w:r>
    </w:p>
    <w:p>
      <w:pPr>
        <w:spacing w:before="60" w:after="100" w:line="300"/>
        <w:jc w:val="both"/>
      </w:pPr>
      <w:r>
        <w:rPr>
          <w:rFonts w:ascii="Arial" w:cs="Arial" w:eastAsia="Arial" w:hAnsi="Arial"/>
          <w:i w:val="false"/>
          <w:iCs w:val="false"/>
          <w:color w:val="111111"/>
          <w:sz w:val="22"/>
          <w:szCs w:val="22"/>
        </w:rPr>
        <w:t xml:space="preserve">The analytic group also shows the widest variance (large IQR in the morphology boxplot), driven entirely by the English-Thai split. The agglutinative group shows the tightest distribution, with most languages clustering in the 0.05–0.10 range, with Swahili as a downward outlier and Telugu as an upward outlier.</w:t>
      </w:r>
    </w:p>
    <w:p>
      <w:pPr>
        <w:pStyle w:val="Heading2"/>
        <w:spacing w:before="260" w:after="120"/>
      </w:pPr>
      <w:r>
        <w:rPr>
          <w:rFonts w:ascii="Arial" w:cs="Arial" w:eastAsia="Arial" w:hAnsi="Arial"/>
          <w:b/>
          <w:bCs/>
          <w:color w:val="2E75B6"/>
          <w:sz w:val="28"/>
          <w:szCs w:val="28"/>
        </w:rPr>
        <w:t xml:space="preserve">7.2 Word Order</w:t>
      </w:r>
    </w:p>
    <w:p>
      <w:pPr>
        <w:spacing w:before="60" w:after="100" w:line="300"/>
        <w:jc w:val="both"/>
      </w:pPr>
      <w:r>
        <w:rPr>
          <w:rFonts w:ascii="Arial" w:cs="Arial" w:eastAsia="Arial" w:hAnsi="Arial"/>
          <w:i w:val="false"/>
          <w:iCs w:val="false"/>
          <w:color w:val="111111"/>
          <w:sz w:val="22"/>
          <w:szCs w:val="22"/>
        </w:rPr>
        <w:t xml:space="preserve">The word order boxplot (image 11) shows SOV languages (Bengali, Japanese, Korean, Telugu; mean F1=0.078) slightly outperforming SVO languages (English, Finnish, Indonesian, Russian, Swahili, Thai; mean F1=0.075) and substantially outperforming VSO Arabic (0.055). The outliers visible at the top of the SVO distribution are Thai (0.184–0.190), which pulls the SVO whiskers and dots high. SOV performance is driven by Bengali and Telugu's above-average results, offsetting Japanese and Korean's below-average scores.</w:t>
      </w:r>
    </w:p>
    <w:p>
      <w:pPr>
        <w:spacing w:before="40" w:after="40"/>
      </w:pPr>
      <w:r>
        <w:t xml:space="preserve"/>
      </w:r>
    </w:p>
    <w:p>
      <w:pPr>
        <w:spacing w:before="60" w:after="100" w:line="300"/>
        <w:jc w:val="both"/>
      </w:pPr>
      <w:r>
        <w:rPr>
          <w:rFonts w:ascii="Arial" w:cs="Arial" w:eastAsia="Arial" w:hAnsi="Arial"/>
          <w:i w:val="false"/>
          <w:iCs w:val="false"/>
          <w:color w:val="111111"/>
          <w:sz w:val="22"/>
          <w:szCs w:val="22"/>
        </w:rPr>
        <w:t xml:space="preserve">Word order is not a mechanistically strong predictor of QA performance in this evaluation. The model generates answers without explicit syntactic constraint — word order affects the internal representation of the question and context but does not directly constrain the extraction process given the generative (rather than span-selection) architecture.</w:t>
      </w:r>
    </w:p>
    <w:p>
      <w:pPr>
        <w:pStyle w:val="Heading2"/>
        <w:spacing w:before="260" w:after="120"/>
      </w:pPr>
      <w:r>
        <w:rPr>
          <w:rFonts w:ascii="Arial" w:cs="Arial" w:eastAsia="Arial" w:hAnsi="Arial"/>
          <w:b/>
          <w:bCs/>
          <w:color w:val="2E75B6"/>
          <w:sz w:val="28"/>
          <w:szCs w:val="28"/>
        </w:rPr>
        <w:t xml:space="preserve">7.3 Resource Level</w:t>
      </w:r>
    </w:p>
    <w:p>
      <w:pPr>
        <w:spacing w:before="60" w:after="100" w:line="300"/>
        <w:jc w:val="both"/>
      </w:pPr>
      <w:r>
        <w:rPr>
          <w:rFonts w:ascii="Arial" w:cs="Arial" w:eastAsia="Arial" w:hAnsi="Arial"/>
          <w:i w:val="false"/>
          <w:iCs w:val="false"/>
          <w:color w:val="111111"/>
          <w:sz w:val="22"/>
          <w:szCs w:val="22"/>
        </w:rPr>
        <w:t xml:space="preserve">The resource boxplot (image 10) produces what appears to be a counter-intuitive result: medium-resource languages (Bengali, Finnish, Indonesian, Thai) achieve the highest mean F1 (0.106), followed by low-resource languages (Swahili, Telugu; mean 0.064), with high-resource languages (Arabic, English, Japanese, Korean, Russian; mean 0.053) achieving the lowest scores.</w:t>
      </w:r>
    </w:p>
    <w:p>
      <w:pPr>
        <w:spacing w:before="40" w:after="40"/>
      </w:pPr>
      <w:r>
        <w:t xml:space="preserve"/>
      </w:r>
    </w:p>
    <w:p>
      <w:pPr>
        <w:spacing w:before="60" w:after="100" w:line="300"/>
        <w:jc w:val="both"/>
      </w:pPr>
      <w:r>
        <w:rPr>
          <w:rFonts w:ascii="Arial" w:cs="Arial" w:eastAsia="Arial" w:hAnsi="Arial"/>
          <w:i w:val="false"/>
          <w:iCs w:val="false"/>
          <w:color w:val="111111"/>
          <w:sz w:val="22"/>
          <w:szCs w:val="22"/>
        </w:rPr>
        <w:t xml:space="preserve">This inversion is explained by composition effects rather than resource levels per se. The medium-resource group contains Thai (the dataset's top performer), which dominates the group mean. The low-resource group contains Telugu, which performs above average due to short-answer extraction. The high-resource group, despite being well-represented in EuroLLM's training, suffers from the model's tendency to produce verbose, explanatory answers in languages it knows well — longer responses reduce token-F1 precision, pulling the group mean down.</w:t>
      </w:r>
    </w:p>
    <w:p>
      <w:pPr>
        <w:spacing w:before="40" w:after="40"/>
      </w:pPr>
      <w:r>
        <w:t xml:space="preserve"/>
      </w:r>
    </w:p>
    <w:p>
      <w:pPr>
        <w:pBdr>
          <w:left w:val="thick" w:color="2E75B6" w:sz="12"/>
        </w:pBdr>
        <w:shd w:fill="FDEBD0" w:val="clear"/>
        <w:spacing w:before="80" w:after="80" w:line="280"/>
        <w:ind w:left="360" w:right="360"/>
      </w:pPr>
      <w:r>
        <w:rPr>
          <w:rFonts w:ascii="Arial" w:cs="Arial" w:eastAsia="Arial" w:hAnsi="Arial"/>
          <w:b/>
          <w:bCs/>
          <w:color w:val="E67E22"/>
          <w:sz w:val="22"/>
          <w:szCs w:val="22"/>
        </w:rPr>
        <w:t xml:space="preserve">Resource Level Paradox: High-resource languages perform worst on token-F1 in this zero-shot evaluation. This is likely because EuroLLM-9B-Instruct generates richer, more fluent, longer responses in languages it knows thoroughly — but longer responses dilute precision against short TyDiQA reference spans. This suggests that the evaluation's token-F1 metric systematically penalises verbosity.</w:t>
      </w:r>
    </w:p>
    <w:p>
      <w:r>
        <w:br w:type="page"/>
      </w:r>
    </w:p>
    <w:p>
      <w:pPr>
        <w:pStyle w:val="Heading1"/>
        <w:pBdr>
          <w:bottom w:val="single" w:color="2E75B6" w:sz="6" w:space="1"/>
        </w:pBdr>
        <w:spacing w:before="320" w:after="160"/>
      </w:pPr>
      <w:r>
        <w:rPr>
          <w:rFonts w:ascii="Arial" w:cs="Arial" w:eastAsia="Arial" w:hAnsi="Arial"/>
          <w:b/>
          <w:bCs/>
          <w:color w:val="1E3A5F"/>
          <w:sz w:val="36"/>
          <w:szCs w:val="36"/>
        </w:rPr>
        <w:t xml:space="preserve">8. Statistical Reliability</w:t>
      </w:r>
    </w:p>
    <w:p>
      <w:pPr>
        <w:pStyle w:val="Heading2"/>
        <w:spacing w:before="260" w:after="120"/>
      </w:pPr>
      <w:r>
        <w:rPr>
          <w:rFonts w:ascii="Arial" w:cs="Arial" w:eastAsia="Arial" w:hAnsi="Arial"/>
          <w:b/>
          <w:bCs/>
          <w:color w:val="2E75B6"/>
          <w:sz w:val="28"/>
          <w:szCs w:val="28"/>
        </w:rPr>
        <w:t xml:space="preserve">8.1 Confidence Intervals</w:t>
      </w:r>
    </w:p>
    <w:p>
      <w:pPr>
        <w:spacing w:before="60" w:after="100" w:line="300"/>
        <w:jc w:val="both"/>
      </w:pPr>
      <w:r>
        <w:rPr>
          <w:rFonts w:ascii="Arial" w:cs="Arial" w:eastAsia="Arial" w:hAnsi="Arial"/>
          <w:i w:val="false"/>
          <w:iCs w:val="false"/>
          <w:color w:val="111111"/>
          <w:sz w:val="22"/>
          <w:szCs w:val="22"/>
        </w:rPr>
        <w:t xml:space="preserve">Bootstrap 95% confidence intervals on F1 scores (image 5) reveal moderate uncertainty in most cells. The CI width is approximately ±0.015–0.025 for most languages. Thai's CIs are tighter relative to its mean (±0.016 on a mean of 0.187), while Swahili's are relatively wider (±0.006 on a mean of 0.023), reflecting the smaller absolute variation in both cases. Critically, the confidence intervals for all four strategies fully overlap for every language, confirming statistically that strategy choice does not produce reliably different F1 outcomes.</w:t>
      </w:r>
    </w:p>
    <w:p>
      <w:pPr>
        <w:spacing w:before="40" w:after="40"/>
      </w:pPr>
      <w:r>
        <w:t xml:space="preserve"/>
      </w:r>
    </w:p>
    <w:p>
      <w:pPr>
        <w:spacing w:before="60" w:after="100" w:line="300"/>
        <w:jc w:val="both"/>
      </w:pPr>
      <w:r>
        <w:rPr>
          <w:rFonts w:ascii="Arial" w:cs="Arial" w:eastAsia="Arial" w:hAnsi="Arial"/>
          <w:i w:val="false"/>
          <w:iCs w:val="false"/>
          <w:color w:val="111111"/>
          <w:sz w:val="22"/>
          <w:szCs w:val="22"/>
        </w:rPr>
        <w:t xml:space="preserve">The exact match CIs (image 4) present a degenerate case: all CIs are collapsed to zero because every bootstrap resample produces EM=0. This provides statistical confirmation that exact match failure is not a sampling artifact but a structural property of the model's generative behaviour.</w:t>
      </w:r>
    </w:p>
    <w:p>
      <w:pPr>
        <w:spacing w:before="40" w:after="40"/>
      </w:pPr>
      <w:r>
        <w:t xml:space="preserve"/>
      </w:r>
    </w:p>
    <w:p>
      <w:pPr>
        <w:pStyle w:val="Heading2"/>
        <w:spacing w:before="260" w:after="120"/>
      </w:pPr>
      <w:r>
        <w:rPr>
          <w:rFonts w:ascii="Arial" w:cs="Arial" w:eastAsia="Arial" w:hAnsi="Arial"/>
          <w:b/>
          <w:bCs/>
          <w:color w:val="2E75B6"/>
          <w:sz w:val="28"/>
          <w:szCs w:val="28"/>
        </w:rPr>
        <w:t xml:space="preserve">8.2 Paired t-Tests</w:t>
      </w:r>
    </w:p>
    <w:p>
      <w:pPr>
        <w:spacing w:before="60" w:after="100" w:line="300"/>
        <w:jc w:val="both"/>
      </w:pPr>
      <w:r>
        <w:rPr>
          <w:rFonts w:ascii="Arial" w:cs="Arial" w:eastAsia="Arial" w:hAnsi="Arial"/>
          <w:i w:val="false"/>
          <w:iCs w:val="false"/>
          <w:color w:val="111111"/>
          <w:sz w:val="22"/>
          <w:szCs w:val="22"/>
        </w:rPr>
        <w:t xml:space="preserve">Bonferroni-corrected paired t-tests across 6 strategy pairs for each of 5 key metrics (language match rate, F1, exact match, transfer rate, BERTScore-F1) yielded no significant pairwise differences on F1 or BERTScore. Language match rate comparisons showed no significant differences since values are all within 0.025 of each other. Transfer rate (a composite metric combining EM and F1 &gt; 0.5) shows marginal variation but no statistically significant differences after correction.</w:t>
      </w:r>
    </w:p>
    <w:p>
      <w:pPr>
        <w:spacing w:before="40" w:after="40"/>
      </w:pPr>
      <w:r>
        <w:t xml:space="preserve"/>
      </w:r>
    </w:p>
    <w:p>
      <w:pPr>
        <w:spacing w:before="60" w:after="100" w:line="300"/>
        <w:jc w:val="both"/>
      </w:pPr>
      <w:r>
        <w:rPr>
          <w:rFonts w:ascii="Arial" w:cs="Arial" w:eastAsia="Arial" w:hAnsi="Arial"/>
          <w:i w:val="false"/>
          <w:iCs w:val="false"/>
          <w:color w:val="111111"/>
          <w:sz w:val="22"/>
          <w:szCs w:val="22"/>
        </w:rPr>
        <w:t xml:space="preserve">The statistical picture is therefore consistent: prompting strategy has no statistically reliable effect on any measured outcome dimension in this without-RAG, zero-shot evaluation.</w:t>
      </w:r>
    </w:p>
    <w:p>
      <w:r>
        <w:br w:type="page"/>
      </w:r>
    </w:p>
    <w:p>
      <w:pPr>
        <w:pStyle w:val="Heading1"/>
        <w:pBdr>
          <w:bottom w:val="single" w:color="2E75B6" w:sz="6" w:space="1"/>
        </w:pBdr>
        <w:spacing w:before="320" w:after="160"/>
      </w:pPr>
      <w:r>
        <w:rPr>
          <w:rFonts w:ascii="Arial" w:cs="Arial" w:eastAsia="Arial" w:hAnsi="Arial"/>
          <w:b/>
          <w:bCs/>
          <w:color w:val="1E3A5F"/>
          <w:sz w:val="36"/>
          <w:szCs w:val="36"/>
        </w:rPr>
        <w:t xml:space="preserve">9. The Language-Quality Dissociation</w:t>
      </w:r>
    </w:p>
    <w:p>
      <w:pPr>
        <w:spacing w:before="60" w:after="100" w:line="300"/>
        <w:jc w:val="both"/>
      </w:pPr>
      <w:r>
        <w:rPr>
          <w:rFonts w:ascii="Arial" w:cs="Arial" w:eastAsia="Arial" w:hAnsi="Arial"/>
          <w:i w:val="false"/>
          <w:iCs w:val="false"/>
          <w:color w:val="111111"/>
          <w:sz w:val="22"/>
          <w:szCs w:val="22"/>
        </w:rPr>
        <w:t xml:space="preserve">The most theoretically significant finding of this evaluation is the fundamental dissociation between language-level metrics and quality metrics:</w:t>
      </w:r>
    </w:p>
    <w:p>
      <w:pPr>
        <w:spacing w:before="40" w:after="40"/>
      </w:pPr>
      <w:r>
        <w:t xml:space="preserve"/>
      </w:r>
    </w:p>
    <w:p>
      <w:pPr>
        <w:pStyle w:val="ListParagraph"/>
        <w:numPr>
          <w:ilvl w:val="0"/>
          <w:numId w:val="2"/>
        </w:numPr>
        <w:spacing w:before="40" w:after="40" w:line="280"/>
      </w:pPr>
      <w:r>
        <w:rPr>
          <w:rFonts w:ascii="Arial" w:cs="Arial" w:eastAsia="Arial" w:hAnsi="Arial"/>
          <w:color w:val="111111"/>
          <w:sz w:val="22"/>
          <w:szCs w:val="22"/>
        </w:rPr>
        <w:t xml:space="preserve">Language Match Rate: Mean 0.993 — near-perfect across all cells.</w:t>
      </w:r>
    </w:p>
    <w:p>
      <w:pPr>
        <w:pStyle w:val="ListParagraph"/>
        <w:numPr>
          <w:ilvl w:val="0"/>
          <w:numId w:val="2"/>
        </w:numPr>
        <w:spacing w:before="40" w:after="40" w:line="280"/>
      </w:pPr>
      <w:r>
        <w:rPr>
          <w:rFonts w:ascii="Arial" w:cs="Arial" w:eastAsia="Arial" w:hAnsi="Arial"/>
          <w:color w:val="111111"/>
          <w:sz w:val="22"/>
          <w:szCs w:val="22"/>
        </w:rPr>
        <w:t xml:space="preserve">Script Consistency: Mean 0.750 — strong, with language-specific structural variation.</w:t>
      </w:r>
    </w:p>
    <w:p>
      <w:pPr>
        <w:pStyle w:val="ListParagraph"/>
        <w:numPr>
          <w:ilvl w:val="0"/>
          <w:numId w:val="2"/>
        </w:numPr>
        <w:spacing w:before="40" w:after="40" w:line="280"/>
      </w:pPr>
      <w:r>
        <w:rPr>
          <w:rFonts w:ascii="Arial" w:cs="Arial" w:eastAsia="Arial" w:hAnsi="Arial"/>
          <w:color w:val="111111"/>
          <w:sz w:val="22"/>
          <w:szCs w:val="22"/>
        </w:rPr>
        <w:t xml:space="preserve">BERTScore-F1: Mean 0.575 — indicates genuine semantic proximity to reference answers.</w:t>
      </w:r>
    </w:p>
    <w:p>
      <w:pPr>
        <w:pStyle w:val="ListParagraph"/>
        <w:numPr>
          <w:ilvl w:val="0"/>
          <w:numId w:val="2"/>
        </w:numPr>
        <w:spacing w:before="40" w:after="40" w:line="280"/>
      </w:pPr>
      <w:r>
        <w:rPr>
          <w:rFonts w:ascii="Arial" w:cs="Arial" w:eastAsia="Arial" w:hAnsi="Arial"/>
          <w:color w:val="111111"/>
          <w:sz w:val="22"/>
          <w:szCs w:val="22"/>
        </w:rPr>
        <w:t xml:space="preserve">Token-F1: Mean 0.073 — poor, reflecting the span-extraction vs generation mismatch.</w:t>
      </w:r>
    </w:p>
    <w:p>
      <w:pPr>
        <w:pStyle w:val="ListParagraph"/>
        <w:numPr>
          <w:ilvl w:val="0"/>
          <w:numId w:val="2"/>
        </w:numPr>
        <w:spacing w:before="40" w:after="40" w:line="280"/>
      </w:pPr>
      <w:r>
        <w:rPr>
          <w:rFonts w:ascii="Arial" w:cs="Arial" w:eastAsia="Arial" w:hAnsi="Arial"/>
          <w:color w:val="111111"/>
          <w:sz w:val="22"/>
          <w:szCs w:val="22"/>
        </w:rPr>
        <w:t xml:space="preserve">Exact Match: 0.000 — zero across all 44 cells.</w:t>
      </w:r>
    </w:p>
    <w:p>
      <w:pPr>
        <w:spacing w:before="40" w:after="40"/>
      </w:pPr>
      <w:r>
        <w:t xml:space="preserve"/>
      </w:r>
    </w:p>
    <w:p>
      <w:pPr>
        <w:spacing w:before="60" w:after="100" w:line="300"/>
        <w:jc w:val="both"/>
      </w:pPr>
      <w:r>
        <w:rPr>
          <w:rFonts w:ascii="Arial" w:cs="Arial" w:eastAsia="Arial" w:hAnsi="Arial"/>
          <w:i w:val="false"/>
          <w:iCs w:val="false"/>
          <w:color w:val="111111"/>
          <w:sz w:val="22"/>
          <w:szCs w:val="22"/>
        </w:rPr>
        <w:t xml:space="preserve">This dissociation — high language adherence, moderate semantic similarity, zero exact match — is the defining characterisation of EuroLLM-9B-Instruct's behaviour without RAG. The model is not confused about what language to use, nor is it semantically lost about what the question is asking. It understands the semantic target but produces a generatively verbose answer rather than a short extractive span.</w:t>
      </w:r>
    </w:p>
    <w:p>
      <w:pPr>
        <w:spacing w:before="40" w:after="40"/>
      </w:pPr>
      <w:r>
        <w:t xml:space="preserve"/>
      </w:r>
    </w:p>
    <w:p>
      <w:pPr>
        <w:pBdr>
          <w:left w:val="thick" w:color="2E75B6" w:sz="12"/>
        </w:pBdr>
        <w:shd w:fill="D5F5E3" w:val="clear"/>
        <w:spacing w:before="80" w:after="80" w:line="280"/>
        <w:ind w:left="360" w:right="360"/>
      </w:pPr>
      <w:r>
        <w:rPr>
          <w:rFonts w:ascii="Arial" w:cs="Arial" w:eastAsia="Arial" w:hAnsi="Arial"/>
          <w:b/>
          <w:bCs/>
          <w:color w:val="1E8449"/>
          <w:sz w:val="22"/>
          <w:szCs w:val="22"/>
        </w:rPr>
        <w:t xml:space="preserve">Interpretive Conclusion: The gap between BERTScore (0.575) and token-F1 (0.073) demonstrates that the limiting factor in this evaluation is not model language knowledge or comprehension — it is generation format. The model has learned to answer questions as a capable language model, not as an extractive QA span-selector. This is a tractable problem.</w:t>
      </w:r>
    </w:p>
    <w:p>
      <w:pPr>
        <w:spacing w:before="40" w:after="40"/>
      </w:pPr>
      <w:r>
        <w:t xml:space="preserve"/>
      </w:r>
    </w:p>
    <w:p>
      <w:pPr>
        <w:spacing w:before="60" w:after="100" w:line="300"/>
        <w:jc w:val="both"/>
      </w:pPr>
      <w:r>
        <w:rPr>
          <w:rFonts w:ascii="Arial" w:cs="Arial" w:eastAsia="Arial" w:hAnsi="Arial"/>
          <w:i w:val="false"/>
          <w:iCs w:val="false"/>
          <w:color w:val="111111"/>
          <w:sz w:val="22"/>
          <w:szCs w:val="22"/>
        </w:rPr>
        <w:t xml:space="preserve">This finding has direct implications for the RAG follow-up evaluation. If the model can semantically identify the correct answer territory (evidenced by BERTScore) but fails to produce the correct surface form (evidenced by token-F1 and EM), then a RAG pipeline that surfaces a specific passage and prompts for span extraction could dramatically improve token-F1 without needing to fundamentally change the model's understanding capabilities. The baseline established here — particularly the BERTScore floor of 0.517–0.630 across languages — sets a meaningful benchmark for RAG improvement attribution.</w:t>
      </w:r>
    </w:p>
    <w:p>
      <w:r>
        <w:br w:type="page"/>
      </w:r>
    </w:p>
    <w:p>
      <w:pPr>
        <w:pStyle w:val="Heading1"/>
        <w:pBdr>
          <w:bottom w:val="single" w:color="2E75B6" w:sz="6" w:space="1"/>
        </w:pBdr>
        <w:spacing w:before="320" w:after="160"/>
      </w:pPr>
      <w:r>
        <w:rPr>
          <w:rFonts w:ascii="Arial" w:cs="Arial" w:eastAsia="Arial" w:hAnsi="Arial"/>
          <w:b/>
          <w:bCs/>
          <w:color w:val="1E3A5F"/>
          <w:sz w:val="36"/>
          <w:szCs w:val="36"/>
        </w:rPr>
        <w:t xml:space="preserve">10. Summary and Key Takeaways</w:t>
      </w:r>
    </w:p>
    <w:p>
      <w:pPr>
        <w:spacing w:before="40" w:after="40"/>
      </w:pPr>
      <w:r>
        <w:t xml:space="preserve"/>
      </w:r>
    </w:p>
    <w:p>
      <w:pPr>
        <w:pBdr>
          <w:left w:val="thick" w:color="2E75B6" w:sz="12"/>
        </w:pBdr>
        <w:shd w:fill="D6E4F0" w:val="clear"/>
        <w:spacing w:before="80" w:after="80" w:line="280"/>
        <w:ind w:left="360" w:right="360"/>
      </w:pPr>
      <w:r>
        <w:rPr>
          <w:rFonts w:ascii="Arial" w:cs="Arial" w:eastAsia="Arial" w:hAnsi="Arial"/>
          <w:b/>
          <w:bCs/>
          <w:color w:val="1E3A5F"/>
          <w:sz w:val="22"/>
          <w:szCs w:val="22"/>
        </w:rPr>
        <w:t xml:space="preserve">EXPERIMENTAL CONDITION: EuroLLM-9B-Instruct (4-bit NF4) | TyDiQA primary_task | 11 languages | 200 samples per language | 4 prompting strategies | No RAG | Zero-shot | 17 February 2026</w:t>
      </w:r>
    </w:p>
    <w:p>
      <w:pPr>
        <w:spacing w:before="40" w:after="40"/>
      </w:pPr>
      <w:r>
        <w:t xml:space="preserve"/>
      </w:r>
    </w:p>
    <w:p>
      <w:pPr>
        <w:pStyle w:val="Heading2"/>
        <w:spacing w:before="260" w:after="120"/>
      </w:pPr>
      <w:r>
        <w:rPr>
          <w:rFonts w:ascii="Arial" w:cs="Arial" w:eastAsia="Arial" w:hAnsi="Arial"/>
          <w:b/>
          <w:bCs/>
          <w:color w:val="2E75B6"/>
          <w:sz w:val="28"/>
          <w:szCs w:val="28"/>
        </w:rPr>
        <w:t xml:space="preserve">10.1 Core Results at a Glance</w:t>
      </w:r>
    </w:p>
    <w:p>
      <w:pPr>
        <w:spacing w:before="120" w:after="40"/>
      </w:pPr>
      <w:r>
        <w:rPr>
          <w:rFonts w:ascii="Arial" w:cs="Arial" w:eastAsia="Arial" w:hAnsi="Arial"/>
          <w:b/>
          <w:bCs/>
          <w:sz w:val="22"/>
          <w:szCs w:val="22"/>
        </w:rPr>
        <w:t xml:space="preserve">Metric</w:t>
      </w:r>
    </w:p>
    <w:p>
      <w:pPr>
        <w:pStyle w:val="ListParagraph"/>
        <w:numPr>
          <w:ilvl w:val="0"/>
          <w:numId w:val="2"/>
        </w:numPr>
        <w:spacing w:before="40" w:after="40" w:line="280"/>
      </w:pPr>
      <w:r>
        <w:rPr>
          <w:rFonts w:ascii="Arial" w:cs="Arial" w:eastAsia="Arial" w:hAnsi="Arial"/>
          <w:color w:val="111111"/>
          <w:sz w:val="22"/>
          <w:szCs w:val="22"/>
        </w:rPr>
        <w:t xml:space="preserve">Token-F1 (mean across all cells): 0.073</w:t>
      </w:r>
    </w:p>
    <w:p>
      <w:pPr>
        <w:pStyle w:val="ListParagraph"/>
        <w:numPr>
          <w:ilvl w:val="0"/>
          <w:numId w:val="2"/>
        </w:numPr>
        <w:spacing w:before="40" w:after="40" w:line="280"/>
      </w:pPr>
      <w:r>
        <w:rPr>
          <w:rFonts w:ascii="Arial" w:cs="Arial" w:eastAsia="Arial" w:hAnsi="Arial"/>
          <w:color w:val="111111"/>
          <w:sz w:val="22"/>
          <w:szCs w:val="22"/>
        </w:rPr>
        <w:t xml:space="preserve">Exact Match (mean): 0.000 — zero for every language and strategy combination</w:t>
      </w:r>
    </w:p>
    <w:p>
      <w:pPr>
        <w:pStyle w:val="ListParagraph"/>
        <w:numPr>
          <w:ilvl w:val="0"/>
          <w:numId w:val="2"/>
        </w:numPr>
        <w:spacing w:before="40" w:after="40" w:line="280"/>
      </w:pPr>
      <w:r>
        <w:rPr>
          <w:rFonts w:ascii="Arial" w:cs="Arial" w:eastAsia="Arial" w:hAnsi="Arial"/>
          <w:color w:val="111111"/>
          <w:sz w:val="22"/>
          <w:szCs w:val="22"/>
        </w:rPr>
        <w:t xml:space="preserve">BERTScore-F1 (mean): 0.575 — indicating meaningful semantic alignment with references</w:t>
      </w:r>
    </w:p>
    <w:p>
      <w:pPr>
        <w:pStyle w:val="ListParagraph"/>
        <w:numPr>
          <w:ilvl w:val="0"/>
          <w:numId w:val="2"/>
        </w:numPr>
        <w:spacing w:before="40" w:after="40" w:line="280"/>
      </w:pPr>
      <w:r>
        <w:rPr>
          <w:rFonts w:ascii="Arial" w:cs="Arial" w:eastAsia="Arial" w:hAnsi="Arial"/>
          <w:color w:val="111111"/>
          <w:sz w:val="22"/>
          <w:szCs w:val="22"/>
        </w:rPr>
        <w:t xml:space="preserve">Language Match Rate (mean): 0.993 — near-perfect language adherence</w:t>
      </w:r>
    </w:p>
    <w:p>
      <w:pPr>
        <w:pStyle w:val="ListParagraph"/>
        <w:numPr>
          <w:ilvl w:val="0"/>
          <w:numId w:val="2"/>
        </w:numPr>
        <w:spacing w:before="40" w:after="40" w:line="280"/>
      </w:pPr>
      <w:r>
        <w:rPr>
          <w:rFonts w:ascii="Arial" w:cs="Arial" w:eastAsia="Arial" w:hAnsi="Arial"/>
          <w:color w:val="111111"/>
          <w:sz w:val="22"/>
          <w:szCs w:val="22"/>
        </w:rPr>
        <w:t xml:space="preserve">Script Consistency (mean): 0.750 — strong, with legitimate structural variation</w:t>
      </w:r>
    </w:p>
    <w:p>
      <w:pPr>
        <w:pStyle w:val="ListParagraph"/>
        <w:numPr>
          <w:ilvl w:val="0"/>
          <w:numId w:val="2"/>
        </w:numPr>
        <w:spacing w:before="40" w:after="40" w:line="280"/>
      </w:pPr>
      <w:r>
        <w:rPr>
          <w:rFonts w:ascii="Arial" w:cs="Arial" w:eastAsia="Arial" w:hAnsi="Arial"/>
          <w:color w:val="111111"/>
          <w:sz w:val="22"/>
          <w:szCs w:val="22"/>
        </w:rPr>
        <w:t xml:space="preserve">Hallucination Rate (mean): 0.076 (ranges from 0.024 Thai to 0.133 Swahili)</w:t>
      </w:r>
    </w:p>
    <w:p>
      <w:pPr>
        <w:pStyle w:val="ListParagraph"/>
        <w:numPr>
          <w:ilvl w:val="0"/>
          <w:numId w:val="2"/>
        </w:numPr>
        <w:spacing w:before="40" w:after="40" w:line="280"/>
      </w:pPr>
      <w:r>
        <w:rPr>
          <w:rFonts w:ascii="Arial" w:cs="Arial" w:eastAsia="Arial" w:hAnsi="Arial"/>
          <w:color w:val="111111"/>
          <w:sz w:val="22"/>
          <w:szCs w:val="22"/>
        </w:rPr>
        <w:t xml:space="preserve">Evidence Usage Rate (mean): 0.921 — most generated content is grounded in the evidence</w:t>
      </w:r>
    </w:p>
    <w:p>
      <w:pPr>
        <w:spacing w:before="40" w:after="40"/>
      </w:pPr>
      <w:r>
        <w:t xml:space="preserve"/>
      </w:r>
    </w:p>
    <w:p>
      <w:pPr>
        <w:pStyle w:val="Heading2"/>
        <w:spacing w:before="260" w:after="120"/>
      </w:pPr>
      <w:r>
        <w:rPr>
          <w:rFonts w:ascii="Arial" w:cs="Arial" w:eastAsia="Arial" w:hAnsi="Arial"/>
          <w:b/>
          <w:bCs/>
          <w:color w:val="2E75B6"/>
          <w:sz w:val="28"/>
          <w:szCs w:val="28"/>
        </w:rPr>
        <w:t xml:space="preserve">10.2 Top Findings</w:t>
      </w:r>
    </w:p>
    <w:p>
      <w:pPr>
        <w:pStyle w:val="ListParagraph"/>
        <w:numPr>
          <w:ilvl w:val="0"/>
          <w:numId w:val="2"/>
        </w:numPr>
        <w:spacing w:before="40" w:after="40" w:line="280"/>
      </w:pPr>
      <w:r>
        <w:rPr>
          <w:rFonts w:ascii="Arial" w:cs="Arial" w:eastAsia="Arial" w:hAnsi="Arial"/>
          <w:color w:val="111111"/>
          <w:sz w:val="22"/>
          <w:szCs w:val="22"/>
        </w:rPr>
        <w:t xml:space="preserve">Finding 1 — Perfect Language Following: EuroLLM-9B-Instruct responds in the correct language on 99.3% of samples across all 11 typologically diverse languages, including low-resource and non-European scripts, under all four prompting strategies. Language adherence is not a bottleneck.</w:t>
      </w:r>
    </w:p>
    <w:p>
      <w:pPr>
        <w:pStyle w:val="ListParagraph"/>
        <w:numPr>
          <w:ilvl w:val="0"/>
          <w:numId w:val="2"/>
        </w:numPr>
        <w:spacing w:before="40" w:after="40" w:line="280"/>
      </w:pPr>
      <w:r>
        <w:rPr>
          <w:rFonts w:ascii="Arial" w:cs="Arial" w:eastAsia="Arial" w:hAnsi="Arial"/>
          <w:color w:val="111111"/>
          <w:sz w:val="22"/>
          <w:szCs w:val="22"/>
        </w:rPr>
        <w:t xml:space="preserve">Finding 2 — Generation Format Mismatch: The model produces fluent, context-grounded, semantically aligned answers — but never short extractive spans. The 0.000 exact match rate across all 44 cells is the defining failure mode of this evaluation condition. This is a generation style problem, not a comprehension problem.</w:t>
      </w:r>
    </w:p>
    <w:p>
      <w:pPr>
        <w:pStyle w:val="ListParagraph"/>
        <w:numPr>
          <w:ilvl w:val="0"/>
          <w:numId w:val="2"/>
        </w:numPr>
        <w:spacing w:before="40" w:after="40" w:line="280"/>
      </w:pPr>
      <w:r>
        <w:rPr>
          <w:rFonts w:ascii="Arial" w:cs="Arial" w:eastAsia="Arial" w:hAnsi="Arial"/>
          <w:color w:val="111111"/>
          <w:sz w:val="22"/>
          <w:szCs w:val="22"/>
        </w:rPr>
        <w:t xml:space="preserve">Finding 3 — BERTScore-Token-F1 Gap Reveals Latent Capability: The gap between BERTScore-F1 (0.575) and token-F1 (0.073) confirms the model semantically locates the answer but fails at surface-form precision. RAG with extraction prompts is the natural intervention.</w:t>
      </w:r>
    </w:p>
    <w:p>
      <w:pPr>
        <w:pStyle w:val="ListParagraph"/>
        <w:numPr>
          <w:ilvl w:val="0"/>
          <w:numId w:val="2"/>
        </w:numPr>
        <w:spacing w:before="40" w:after="40" w:line="280"/>
      </w:pPr>
      <w:r>
        <w:rPr>
          <w:rFonts w:ascii="Arial" w:cs="Arial" w:eastAsia="Arial" w:hAnsi="Arial"/>
          <w:color w:val="111111"/>
          <w:sz w:val="22"/>
          <w:szCs w:val="22"/>
        </w:rPr>
        <w:t xml:space="preserve">Finding 4 — Minimal Prompting is Best: Counterintuitively, the simplest prompting strategy (Minimal) achieves the highest mean F1 (0.074) and the lowest hallucination rate (0.062). Each escalation step to Explicit EN, Explicit Native, and Strict progressively increases hallucination by approximately 50% total while delivering no F1 or BERTScore improvement. Verbose meta-instructions compete with evidence attention.</w:t>
      </w:r>
    </w:p>
    <w:p>
      <w:pPr>
        <w:pStyle w:val="ListParagraph"/>
        <w:numPr>
          <w:ilvl w:val="0"/>
          <w:numId w:val="2"/>
        </w:numPr>
        <w:spacing w:before="40" w:after="40" w:line="280"/>
      </w:pPr>
      <w:r>
        <w:rPr>
          <w:rFonts w:ascii="Arial" w:cs="Arial" w:eastAsia="Arial" w:hAnsi="Arial"/>
          <w:color w:val="111111"/>
          <w:sz w:val="22"/>
          <w:szCs w:val="22"/>
        </w:rPr>
        <w:t xml:space="preserve">Finding 5 — Thai is the Anomalous Leader: Thai's mean F1 of 0.184 is 3.1× the system average, driven by short character-level answers, extreme evidence grounding, and high script purity. This is partly a tokenisation and answer-length artefact and should not be treated as evidence that the model has particularly strong Thai capabilities.</w:t>
      </w:r>
    </w:p>
    <w:p>
      <w:pPr>
        <w:pStyle w:val="ListParagraph"/>
        <w:numPr>
          <w:ilvl w:val="0"/>
          <w:numId w:val="2"/>
        </w:numPr>
        <w:spacing w:before="40" w:after="40" w:line="280"/>
      </w:pPr>
      <w:r>
        <w:rPr>
          <w:rFonts w:ascii="Arial" w:cs="Arial" w:eastAsia="Arial" w:hAnsi="Arial"/>
          <w:color w:val="111111"/>
          <w:sz w:val="22"/>
          <w:szCs w:val="22"/>
        </w:rPr>
        <w:t xml:space="preserve">Finding 6 — Resource Level Paradox: High-resource languages (Arabic, English, Japanese, Korean, Russian) achieve the lowest token-F1 despite the model's strongest training signal, because it generates longer, richer responses in familiar languages. Medium-resource languages lead due to Thai's outlier effect.</w:t>
      </w:r>
    </w:p>
    <w:p>
      <w:pPr>
        <w:pStyle w:val="ListParagraph"/>
        <w:numPr>
          <w:ilvl w:val="0"/>
          <w:numId w:val="2"/>
        </w:numPr>
        <w:spacing w:before="40" w:after="40" w:line="280"/>
      </w:pPr>
      <w:r>
        <w:rPr>
          <w:rFonts w:ascii="Arial" w:cs="Arial" w:eastAsia="Arial" w:hAnsi="Arial"/>
          <w:color w:val="111111"/>
          <w:sz w:val="22"/>
          <w:szCs w:val="22"/>
        </w:rPr>
        <w:t xml:space="preserve">Finding 7 — Morphology Stratification is Thai-Confounded: The apparent advantage of analytic languages over agglutinative languages on F1 collapses when Thai is removed. Morphological type is not a clean predictor of performance in this evaluation.</w:t>
      </w:r>
    </w:p>
    <w:p>
      <w:pPr>
        <w:pStyle w:val="ListParagraph"/>
        <w:numPr>
          <w:ilvl w:val="0"/>
          <w:numId w:val="2"/>
        </w:numPr>
        <w:spacing w:before="40" w:after="40" w:line="280"/>
      </w:pPr>
      <w:r>
        <w:rPr>
          <w:rFonts w:ascii="Arial" w:cs="Arial" w:eastAsia="Arial" w:hAnsi="Arial"/>
          <w:color w:val="111111"/>
          <w:sz w:val="22"/>
          <w:szCs w:val="22"/>
        </w:rPr>
        <w:t xml:space="preserve">Finding 8 — Swahili Requires Dedicated Attention: Swahili is the only language that underperforms at both the lexical (F1=0.023) and semantic (BERTScore=0.517) level. It is the most likely candidate to benefit from specialised prompting, additional few-shot examples, or targeted fine-tuning data.</w:t>
      </w:r>
    </w:p>
    <w:p>
      <w:pPr>
        <w:spacing w:before="40" w:after="40"/>
      </w:pPr>
      <w:r>
        <w:t xml:space="preserve"/>
      </w:r>
    </w:p>
    <w:p>
      <w:pPr>
        <w:pStyle w:val="Heading2"/>
        <w:spacing w:before="260" w:after="120"/>
      </w:pPr>
      <w:r>
        <w:rPr>
          <w:rFonts w:ascii="Arial" w:cs="Arial" w:eastAsia="Arial" w:hAnsi="Arial"/>
          <w:b/>
          <w:bCs/>
          <w:color w:val="2E75B6"/>
          <w:sz w:val="28"/>
          <w:szCs w:val="28"/>
        </w:rPr>
        <w:t xml:space="preserve">10.3 Implications for the RAG Evaluation</w:t>
      </w:r>
    </w:p>
    <w:p>
      <w:pPr>
        <w:spacing w:before="60" w:after="100" w:line="300"/>
        <w:jc w:val="both"/>
      </w:pPr>
      <w:r>
        <w:rPr>
          <w:rFonts w:ascii="Arial" w:cs="Arial" w:eastAsia="Arial" w:hAnsi="Arial"/>
          <w:i w:val="false"/>
          <w:iCs w:val="false"/>
          <w:color w:val="111111"/>
          <w:sz w:val="22"/>
          <w:szCs w:val="22"/>
        </w:rPr>
        <w:t xml:space="preserve">These baseline results establish several clear expectations for the subsequent RAG-augmented evaluation:</w:t>
      </w:r>
    </w:p>
    <w:p>
      <w:pPr>
        <w:pStyle w:val="ListParagraph"/>
        <w:numPr>
          <w:ilvl w:val="0"/>
          <w:numId w:val="2"/>
        </w:numPr>
        <w:spacing w:before="40" w:after="40" w:line="280"/>
      </w:pPr>
      <w:r>
        <w:rPr>
          <w:rFonts w:ascii="Arial" w:cs="Arial" w:eastAsia="Arial" w:hAnsi="Arial"/>
          <w:color w:val="111111"/>
          <w:sz w:val="22"/>
          <w:szCs w:val="22"/>
        </w:rPr>
        <w:t xml:space="preserve">RAG should dramatically improve token-F1 and exact match by surfacing the specific passage that contains the reference span, enabling extraction-style generation rather than open-ended answering.</w:t>
      </w:r>
    </w:p>
    <w:p>
      <w:pPr>
        <w:pStyle w:val="ListParagraph"/>
        <w:numPr>
          <w:ilvl w:val="0"/>
          <w:numId w:val="2"/>
        </w:numPr>
        <w:spacing w:before="40" w:after="40" w:line="280"/>
      </w:pPr>
      <w:r>
        <w:rPr>
          <w:rFonts w:ascii="Arial" w:cs="Arial" w:eastAsia="Arial" w:hAnsi="Arial"/>
          <w:color w:val="111111"/>
          <w:sz w:val="22"/>
          <w:szCs w:val="22"/>
        </w:rPr>
        <w:t xml:space="preserve">The Minimal prompting strategy should be used as the default for RAG experiments, given its superior evidence grounding and lowest hallucination rate.</w:t>
      </w:r>
    </w:p>
    <w:p>
      <w:pPr>
        <w:pStyle w:val="ListParagraph"/>
        <w:numPr>
          <w:ilvl w:val="0"/>
          <w:numId w:val="2"/>
        </w:numPr>
        <w:spacing w:before="40" w:after="40" w:line="280"/>
      </w:pPr>
      <w:r>
        <w:rPr>
          <w:rFonts w:ascii="Arial" w:cs="Arial" w:eastAsia="Arial" w:hAnsi="Arial"/>
          <w:color w:val="111111"/>
          <w:sz w:val="22"/>
          <w:szCs w:val="22"/>
        </w:rPr>
        <w:t xml:space="preserve">BERTScore improvement under RAG may be modest (the model is already semantically close to the reference at 0.575) but token-F1 should show large gains.</w:t>
      </w:r>
    </w:p>
    <w:p>
      <w:pPr>
        <w:pStyle w:val="ListParagraph"/>
        <w:numPr>
          <w:ilvl w:val="0"/>
          <w:numId w:val="2"/>
        </w:numPr>
        <w:spacing w:before="40" w:after="40" w:line="280"/>
      </w:pPr>
      <w:r>
        <w:rPr>
          <w:rFonts w:ascii="Arial" w:cs="Arial" w:eastAsia="Arial" w:hAnsi="Arial"/>
          <w:color w:val="111111"/>
          <w:sz w:val="22"/>
          <w:szCs w:val="22"/>
        </w:rPr>
        <w:t xml:space="preserve">Swahili, Russian, and Arabic present the highest opportunity for RAG improvement given their combination of high semantic potential (demonstrated by the model's language adherence) and poor lexical precision.</w:t>
      </w:r>
    </w:p>
    <w:p>
      <w:pPr>
        <w:pStyle w:val="ListParagraph"/>
        <w:numPr>
          <w:ilvl w:val="0"/>
          <w:numId w:val="2"/>
        </w:numPr>
        <w:spacing w:before="40" w:after="40" w:line="280"/>
      </w:pPr>
      <w:r>
        <w:rPr>
          <w:rFonts w:ascii="Arial" w:cs="Arial" w:eastAsia="Arial" w:hAnsi="Arial"/>
          <w:color w:val="111111"/>
          <w:sz w:val="22"/>
          <w:szCs w:val="22"/>
        </w:rPr>
        <w:t xml:space="preserve">Thai and Telugu baselines are strong enough that RAG gains may be smaller or harder to attribute, since a ceiling effect is possible on token-F1 for very short answer spans.</w:t>
      </w:r>
    </w:p>
    <w:p>
      <w:pPr>
        <w:spacing w:before="40" w:after="40"/>
      </w:pPr>
      <w:r>
        <w:t xml:space="preserve"/>
      </w:r>
    </w:p>
    <w:p>
      <w:pPr>
        <w:pStyle w:val="Heading2"/>
        <w:spacing w:before="260" w:after="120"/>
      </w:pPr>
      <w:r>
        <w:rPr>
          <w:rFonts w:ascii="Arial" w:cs="Arial" w:eastAsia="Arial" w:hAnsi="Arial"/>
          <w:b/>
          <w:bCs/>
          <w:color w:val="2E75B6"/>
          <w:sz w:val="28"/>
          <w:szCs w:val="28"/>
        </w:rPr>
        <w:t xml:space="preserve">10.4 Recommended Next Steps</w:t>
      </w:r>
    </w:p>
    <w:p>
      <w:pPr>
        <w:pStyle w:val="ListParagraph"/>
        <w:numPr>
          <w:ilvl w:val="0"/>
          <w:numId w:val="2"/>
        </w:numPr>
        <w:spacing w:before="40" w:after="40" w:line="280"/>
      </w:pPr>
      <w:r>
        <w:rPr>
          <w:rFonts w:ascii="Arial" w:cs="Arial" w:eastAsia="Arial" w:hAnsi="Arial"/>
          <w:color w:val="111111"/>
          <w:sz w:val="22"/>
          <w:szCs w:val="22"/>
        </w:rPr>
        <w:t xml:space="preserve">Run the RAG-augmented evaluation using identical model, dataset, and sample splits. Use Minimal prompting as the primary condition for fair comparison.</w:t>
      </w:r>
    </w:p>
    <w:p>
      <w:pPr>
        <w:pStyle w:val="ListParagraph"/>
        <w:numPr>
          <w:ilvl w:val="0"/>
          <w:numId w:val="2"/>
        </w:numPr>
        <w:spacing w:before="40" w:after="40" w:line="280"/>
      </w:pPr>
      <w:r>
        <w:rPr>
          <w:rFonts w:ascii="Arial" w:cs="Arial" w:eastAsia="Arial" w:hAnsi="Arial"/>
          <w:color w:val="111111"/>
          <w:sz w:val="22"/>
          <w:szCs w:val="22"/>
        </w:rPr>
        <w:t xml:space="preserve">Investigate span-extraction prompt formatting: adding an explicit instruction such as 'Reply with only the shortest possible text span from the passage that answers the question' may improve token-F1 substantially without RAG.</w:t>
      </w:r>
    </w:p>
    <w:p>
      <w:pPr>
        <w:pStyle w:val="ListParagraph"/>
        <w:numPr>
          <w:ilvl w:val="0"/>
          <w:numId w:val="2"/>
        </w:numPr>
        <w:spacing w:before="40" w:after="40" w:line="280"/>
      </w:pPr>
      <w:r>
        <w:rPr>
          <w:rFonts w:ascii="Arial" w:cs="Arial" w:eastAsia="Arial" w:hAnsi="Arial"/>
          <w:color w:val="111111"/>
          <w:sz w:val="22"/>
          <w:szCs w:val="22"/>
        </w:rPr>
        <w:t xml:space="preserve">Examine Swahili outputs manually to understand whether the low BERTScore reflects genuine semantic error or evaluation metric limitations (e.g., the model paraphrasing correctly in a semantically different vocabulary).</w:t>
      </w:r>
    </w:p>
    <w:p>
      <w:pPr>
        <w:pStyle w:val="ListParagraph"/>
        <w:numPr>
          <w:ilvl w:val="0"/>
          <w:numId w:val="2"/>
        </w:numPr>
        <w:spacing w:before="40" w:after="40" w:line="280"/>
      </w:pPr>
      <w:r>
        <w:rPr>
          <w:rFonts w:ascii="Arial" w:cs="Arial" w:eastAsia="Arial" w:hAnsi="Arial"/>
          <w:color w:val="111111"/>
          <w:sz w:val="22"/>
          <w:szCs w:val="22"/>
        </w:rPr>
        <w:t xml:space="preserve">Consider character-n-gram F1 as a supplementary metric for morphologically rich languages (Arabic, Finnish, Russian, Turkish-family) where token boundaries differ substantially between model output and reference.</w:t>
      </w:r>
    </w:p>
    <w:p>
      <w:pPr>
        <w:pStyle w:val="ListParagraph"/>
        <w:numPr>
          <w:ilvl w:val="0"/>
          <w:numId w:val="2"/>
        </w:numPr>
        <w:spacing w:before="40" w:after="40" w:line="280"/>
      </w:pPr>
      <w:r>
        <w:rPr>
          <w:rFonts w:ascii="Arial" w:cs="Arial" w:eastAsia="Arial" w:hAnsi="Arial"/>
          <w:color w:val="111111"/>
          <w:sz w:val="22"/>
          <w:szCs w:val="22"/>
        </w:rPr>
        <w:t xml:space="preserve">Investigate the refusal rate increase for Telugu under Explicit Native prompting — this is an actionable finding for prompt engineering.</w:t>
      </w:r>
    </w:p>
    <w:p>
      <w:pPr>
        <w:spacing w:before="40" w:after="40"/>
      </w:pPr>
      <w:r>
        <w:t xml:space="preserve"/>
      </w:r>
    </w:p>
    <w:p>
      <w:pPr>
        <w:spacing w:before="120" w:after="80"/>
        <w:jc w:val="center"/>
      </w:pPr>
      <w:r>
        <w:rPr>
          <w:rFonts w:ascii="Arial" w:cs="Arial" w:eastAsia="Arial" w:hAnsi="Arial"/>
          <w:color w:val="717D7E"/>
          <w:sz w:val="18"/>
          <w:szCs w:val="18"/>
        </w:rPr>
        <w:t xml:space="preserve">─────────────────────────────────────────────────────────────────────────────</w:t>
      </w:r>
    </w:p>
    <w:p>
      <w:pPr>
        <w:spacing w:before="0" w:after="40"/>
        <w:jc w:val="center"/>
      </w:pPr>
      <w:r>
        <w:rPr>
          <w:rFonts w:ascii="Arial" w:cs="Arial" w:eastAsia="Arial" w:hAnsi="Arial"/>
          <w:i/>
          <w:iCs/>
          <w:color w:val="717D7E"/>
          <w:sz w:val="20"/>
          <w:szCs w:val="20"/>
        </w:rPr>
        <w:t xml:space="preserve">End of Report</w:t>
      </w:r>
    </w:p>
    <w:p>
      <w:pPr>
        <w:spacing w:before="0" w:after="80"/>
        <w:jc w:val="center"/>
      </w:pPr>
      <w:r>
        <w:rPr>
          <w:rFonts w:ascii="Arial" w:cs="Arial" w:eastAsia="Arial" w:hAnsi="Arial"/>
          <w:color w:val="717D7E"/>
          <w:sz w:val="18"/>
          <w:szCs w:val="18"/>
        </w:rPr>
        <w:t xml:space="preserve">EuroLLM-9B-Instruct · TyDiQA Zero-Shot · Without RAG · February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80"/>
      <w:jc w:val="right"/>
    </w:pPr>
    <w:r>
      <w:rPr>
        <w:rFonts w:ascii="Arial" w:cs="Arial" w:eastAsia="Arial" w:hAnsi="Arial"/>
        <w:color w:val="717D7E"/>
        <w:sz w:val="18"/>
        <w:szCs w:val="18"/>
      </w:rPr>
      <w:t xml:space="preserve">Confidential Research Report  |  Page </w:t>
    </w:r>
    <w:r>
      <w:rPr>
        <w:rFonts w:ascii="Arial" w:cs="Arial" w:eastAsia="Arial" w:hAnsi="Arial"/>
        <w:color w:val="717D7E"/>
        <w:sz w:val="18"/>
        <w:szCs w:val="18"/>
      </w:rPr>
      <w:fldChar w:fldCharType="begin"/>
      <w:instrText xml:space="preserve">PAGE</w:instrText>
      <w:fldChar w:fldCharType="separate"/>
      <w:fldChar w:fldCharType="end"/>
    </w:r>
    <w:r>
      <w:rPr>
        <w:rFonts w:ascii="Arial" w:cs="Arial" w:eastAsia="Arial" w:hAnsi="Arial"/>
        <w:color w:val="717D7E"/>
        <w:sz w:val="18"/>
        <w:szCs w:val="18"/>
      </w:rPr>
      <w:t xml:space="preserve"> of </w:t>
    </w:r>
    <w:r>
      <w:rPr>
        <w:rFonts w:ascii="Arial" w:cs="Arial" w:eastAsia="Arial" w:hAnsi="Arial"/>
        <w:color w:val="717D7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pPr>
    <w:r>
      <w:rPr>
        <w:rFonts w:ascii="Arial" w:cs="Arial" w:eastAsia="Arial" w:hAnsi="Arial"/>
        <w:color w:val="717D7E"/>
        <w:sz w:val="18"/>
        <w:szCs w:val="18"/>
      </w:rPr>
      <w:t xml:space="preserve">EuroLLM-9B-Instruct · TyDiQA Zero-Shot Evaluation · Without RAG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E3A5F"/>
      <w:sz w:val="36"/>
      <w:szCs w:val="36"/>
    </w:rPr>
  </w:style>
  <w:style w:type="paragraph" w:styleId="Heading2">
    <w:name w:val="Heading 2"/>
    <w:basedOn w:val="Normal"/>
    <w:next w:val="Normal"/>
    <w:qFormat/>
    <w:pPr>
      <w:spacing w:before="26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05F7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2026-02-17T10:39:58.383Z</dcterms:created>
  <dcterms:modified xsi:type="dcterms:W3CDTF">2026-02-17T10:39:58.384Z</dcterms:modified>
</cp:coreProperties>
</file>

<file path=docProps/custom.xml><?xml version="1.0" encoding="utf-8"?>
<Properties xmlns="http://schemas.openxmlformats.org/officeDocument/2006/custom-properties" xmlns:vt="http://schemas.openxmlformats.org/officeDocument/2006/docPropsVTypes"/>
</file>