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Calibri" w:hAnsi="Calibri"/>
          <w:b/>
          <w:color w:val="5C6670"/>
          <w:sz w:val="26"/>
        </w:rPr>
        <w:t>PIMPRI CHINCHWAD UNIVERSITY</w:t>
      </w:r>
    </w:p>
    <w:p>
      <w:pPr>
        <w:spacing w:before="840" w:after="240"/>
        <w:jc w:val="center"/>
      </w:pPr>
      <w:r>
        <w:rPr>
          <w:rFonts w:ascii="Calibri" w:hAnsi="Calibri"/>
          <w:b/>
          <w:color w:val="1F3A5F"/>
          <w:sz w:val="60"/>
        </w:rPr>
        <w:t>LINGUALEAP AI</w:t>
      </w:r>
    </w:p>
    <w:p>
      <w:pPr>
        <w:spacing w:after="560"/>
        <w:jc w:val="center"/>
      </w:pPr>
      <w:r>
        <w:rPr>
          <w:rFonts w:ascii="Calibri" w:hAnsi="Calibri"/>
          <w:b/>
          <w:color w:val="2E74B5"/>
          <w:sz w:val="30"/>
        </w:rPr>
        <w:t>Intelligent Language Learning Platform with Moderator-Aware Evaluation</w:t>
      </w:r>
    </w:p>
    <w:p>
      <w:pPr>
        <w:jc w:val="center"/>
      </w:pPr>
      <w:r>
        <w:rPr>
          <w:rFonts w:ascii="Calibri" w:hAnsi="Calibri"/>
          <w:b/>
          <w:color w:val="7A5A00"/>
          <w:sz w:val="22"/>
        </w:rPr>
        <w:t>Implementation-Aligned Project Report</w:t>
      </w:r>
    </w:p>
    <w:p>
      <w:pPr>
        <w:spacing w:before="1040"/>
        <w:jc w:val="center"/>
      </w:pPr>
      <w:r>
        <w:rPr>
          <w:rFonts w:ascii="Calibri" w:hAnsi="Calibri"/>
          <w:color w:val="232A34"/>
          <w:sz w:val="22"/>
        </w:rPr>
        <w:t>Submitted toward the partial fulfillment of the requirements of</w:t>
        <w:br/>
        <w:t>Bachelor of Technology in Computer Science and Engineering</w:t>
      </w:r>
    </w:p>
    <w:p>
      <w:pPr>
        <w:spacing w:after="40"/>
        <w:jc w:val="center"/>
      </w:pPr>
      <w:r>
        <w:rPr>
          <w:rFonts w:ascii="Calibri" w:hAnsi="Calibri"/>
          <w:b/>
          <w:color w:val="232A34"/>
          <w:sz w:val="21"/>
        </w:rPr>
        <w:t>Jai Bonde | PRN: SOE23201040063</w:t>
      </w:r>
    </w:p>
    <w:p>
      <w:pPr>
        <w:spacing w:after="40"/>
        <w:jc w:val="center"/>
      </w:pPr>
      <w:r>
        <w:rPr>
          <w:rFonts w:ascii="Calibri" w:hAnsi="Calibri"/>
          <w:b/>
          <w:color w:val="232A34"/>
          <w:sz w:val="21"/>
        </w:rPr>
        <w:t>Atharva Mejari | PRN: SOE23201040076</w:t>
      </w:r>
    </w:p>
    <w:p>
      <w:pPr>
        <w:spacing w:after="40"/>
        <w:jc w:val="center"/>
      </w:pPr>
      <w:r>
        <w:rPr>
          <w:rFonts w:ascii="Calibri" w:hAnsi="Calibri"/>
          <w:b/>
          <w:color w:val="232A34"/>
          <w:sz w:val="21"/>
        </w:rPr>
        <w:t>Anuja Bahirat | PRN: SOE23201060004</w:t>
      </w:r>
    </w:p>
    <w:p>
      <w:pPr>
        <w:spacing w:after="40"/>
        <w:jc w:val="center"/>
      </w:pPr>
      <w:r>
        <w:rPr>
          <w:rFonts w:ascii="Calibri" w:hAnsi="Calibri"/>
          <w:b/>
          <w:color w:val="232A34"/>
          <w:sz w:val="21"/>
        </w:rPr>
        <w:t>Atharva Salunke | PRN: SOE23201040024</w:t>
      </w:r>
    </w:p>
    <w:p>
      <w:pPr>
        <w:spacing w:before="640"/>
        <w:jc w:val="center"/>
      </w:pPr>
      <w:r>
        <w:rPr>
          <w:rFonts w:ascii="Calibri" w:hAnsi="Calibri"/>
          <w:color w:val="5C6670"/>
          <w:sz w:val="21"/>
        </w:rPr>
        <w:t>Department of Computer Science &amp; Engineering</w:t>
        <w:br/>
        <w:t>Academic Year 2025-26</w:t>
      </w:r>
    </w:p>
    <w:p>
      <w:r>
        <w:br w:type="page"/>
      </w:r>
    </w:p>
    <w:p>
      <w:pPr>
        <w:pStyle w:val="Heading1"/>
      </w:pPr>
      <w:r>
        <w:t>Revision Status and Claim Boundary</w:t>
      </w:r>
    </w:p>
    <w:p>
      <w:pPr>
        <w:spacing w:before="100" w:after="200" w:line="276" w:lineRule="auto"/>
        <w:ind w:left="115" w:right="115"/>
        <w:shd w:fill="F4F6F9"/>
        <w:pBdr>
          <w:top w:val="single" w:sz="6" w:space="5" w:color="A7ADB5"/>
          <w:left w:val="single" w:sz="6" w:space="5" w:color="A7ADB5"/>
          <w:bottom w:val="single" w:sz="6" w:space="5" w:color="A7ADB5"/>
          <w:right w:val="single" w:sz="6" w:space="5" w:color="A7ADB5"/>
        </w:pBdr>
      </w:pPr>
      <w:r>
        <w:rPr>
          <w:rFonts w:ascii="Calibri" w:hAnsi="Calibri"/>
          <w:b/>
          <w:color w:val="7A5A00"/>
          <w:sz w:val="18"/>
        </w:rPr>
        <w:t>PURPOSE OF THIS REVISION</w:t>
        <w:br/>
      </w:r>
      <w:r>
        <w:rPr>
          <w:rFonts w:ascii="Calibri" w:hAnsi="Calibri"/>
          <w:color w:val="232A34"/>
          <w:sz w:val="21"/>
        </w:rPr>
        <w:t>This report replaces unsupported implementation and effectiveness claims in the earlier 138-page draft. It documents the software that exists as of 12 June 2026 and treats the research component as an evaluation design, not a completed or validated study.</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b/>
                <w:color w:val="1F3A5F"/>
                <w:sz w:val="19"/>
              </w:rPr>
              <w:t>Area</w:t>
            </w:r>
          </w:p>
        </w:tc>
        <w:tc>
          <w:tcPr>
            <w:tcW w:type="dxa" w:w="3300"/>
            <w:shd w:fill="E8EEF5"/>
            <w:vAlign w:val="center"/>
            <w:tcMar>
              <w:top w:w="80" w:type="dxa"/>
              <w:start w:w="120" w:type="dxa"/>
              <w:bottom w:w="80" w:type="dxa"/>
              <w:end w:w="120" w:type="dxa"/>
            </w:tcMar>
          </w:tcPr>
          <w:p>
            <w:pPr>
              <w:spacing w:after="0"/>
            </w:pPr>
            <w:r>
              <w:rPr>
                <w:rFonts w:ascii="Calibri" w:hAnsi="Calibri"/>
                <w:b/>
                <w:color w:val="1F3A5F"/>
                <w:sz w:val="19"/>
              </w:rPr>
              <w:t>Earlier draft implied</w:t>
            </w:r>
          </w:p>
        </w:tc>
        <w:tc>
          <w:tcPr>
            <w:tcW w:type="dxa" w:w="4260"/>
            <w:shd w:fill="E8EEF5"/>
            <w:vAlign w:val="center"/>
            <w:tcMar>
              <w:top w:w="80" w:type="dxa"/>
              <w:start w:w="120" w:type="dxa"/>
              <w:bottom w:w="80" w:type="dxa"/>
              <w:end w:w="120" w:type="dxa"/>
            </w:tcMar>
          </w:tcPr>
          <w:p>
            <w:pPr>
              <w:spacing w:after="0"/>
            </w:pPr>
            <w:r>
              <w:rPr>
                <w:rFonts w:ascii="Calibri" w:hAnsi="Calibri"/>
                <w:b/>
                <w:color w:val="1F3A5F"/>
                <w:sz w:val="19"/>
              </w:rPr>
              <w:t>Implementation-aligned statement</w:t>
            </w:r>
          </w:p>
        </w:tc>
      </w:tr>
      <w:tr>
        <w:trPr>
          <w:cantSplit/>
        </w:trPr>
        <w:tc>
          <w:tcPr>
            <w:tcW w:type="dxa" w:w="1800"/>
            <w:vAlign w:val="center"/>
            <w:tcMar>
              <w:top w:w="80" w:type="dxa"/>
              <w:start w:w="120" w:type="dxa"/>
              <w:bottom w:w="80" w:type="dxa"/>
              <w:end w:w="120" w:type="dxa"/>
            </w:tcMar>
          </w:tcPr>
          <w:p>
            <w:pPr>
              <w:spacing w:after="0"/>
            </w:pPr>
            <w:r>
              <w:rPr>
                <w:rFonts w:ascii="Calibri" w:hAnsi="Calibri"/>
                <w:color w:val="232A34"/>
                <w:sz w:val="19"/>
              </w:rPr>
              <w:t>Product identity</w:t>
            </w:r>
          </w:p>
        </w:tc>
        <w:tc>
          <w:tcPr>
            <w:tcW w:type="dxa" w:w="3300"/>
            <w:vAlign w:val="center"/>
            <w:tcMar>
              <w:top w:w="80" w:type="dxa"/>
              <w:start w:w="120" w:type="dxa"/>
              <w:bottom w:w="80" w:type="dxa"/>
              <w:end w:w="120" w:type="dxa"/>
            </w:tcMar>
          </w:tcPr>
          <w:p>
            <w:pPr>
              <w:spacing w:after="0"/>
            </w:pPr>
            <w:r>
              <w:rPr>
                <w:rFonts w:ascii="Calibri" w:hAnsi="Calibri"/>
                <w:color w:val="232A34"/>
                <w:sz w:val="19"/>
              </w:rPr>
              <w:t>A meta-analytic research engine</w:t>
            </w:r>
          </w:p>
        </w:tc>
        <w:tc>
          <w:tcPr>
            <w:tcW w:type="dxa" w:w="4260"/>
            <w:vAlign w:val="center"/>
            <w:tcMar>
              <w:top w:w="80" w:type="dxa"/>
              <w:start w:w="120" w:type="dxa"/>
              <w:bottom w:w="80" w:type="dxa"/>
              <w:end w:w="120" w:type="dxa"/>
            </w:tcMar>
          </w:tcPr>
          <w:p>
            <w:pPr>
              <w:spacing w:after="0"/>
            </w:pPr>
            <w:r>
              <w:rPr>
                <w:rFonts w:ascii="Calibri" w:hAnsi="Calibri"/>
                <w:color w:val="232A34"/>
                <w:sz w:val="19"/>
              </w:rPr>
              <w:t>An intelligent language-learning platform with a secondary moderator-aware research dashboard</w:t>
            </w:r>
          </w:p>
        </w:tc>
      </w:tr>
      <w:tr>
        <w:trPr>
          <w:cantSplit/>
        </w:trPr>
        <w:tc>
          <w:tcPr>
            <w:tcW w:type="dxa" w:w="1800"/>
            <w:vAlign w:val="center"/>
            <w:tcMar>
              <w:top w:w="80" w:type="dxa"/>
              <w:start w:w="120" w:type="dxa"/>
              <w:bottom w:w="80" w:type="dxa"/>
              <w:end w:w="120" w:type="dxa"/>
            </w:tcMar>
          </w:tcPr>
          <w:p>
            <w:pPr>
              <w:spacing w:after="0"/>
            </w:pPr>
            <w:r>
              <w:rPr>
                <w:rFonts w:ascii="Calibri" w:hAnsi="Calibri"/>
                <w:color w:val="232A34"/>
                <w:sz w:val="19"/>
              </w:rPr>
              <w:t>AI</w:t>
            </w:r>
          </w:p>
        </w:tc>
        <w:tc>
          <w:tcPr>
            <w:tcW w:type="dxa" w:w="3300"/>
            <w:vAlign w:val="center"/>
            <w:tcMar>
              <w:top w:w="80" w:type="dxa"/>
              <w:start w:w="120" w:type="dxa"/>
              <w:bottom w:w="80" w:type="dxa"/>
              <w:end w:w="120" w:type="dxa"/>
            </w:tcMar>
          </w:tcPr>
          <w:p>
            <w:pPr>
              <w:spacing w:after="0"/>
            </w:pPr>
            <w:r>
              <w:rPr>
                <w:rFonts w:ascii="Calibri" w:hAnsi="Calibri"/>
                <w:color w:val="232A34"/>
                <w:sz w:val="19"/>
              </w:rPr>
              <w:t>Custom deep-learning models trained with TensorFlow/PyTorch</w:t>
            </w:r>
          </w:p>
        </w:tc>
        <w:tc>
          <w:tcPr>
            <w:tcW w:type="dxa" w:w="4260"/>
            <w:vAlign w:val="center"/>
            <w:tcMar>
              <w:top w:w="80" w:type="dxa"/>
              <w:start w:w="120" w:type="dxa"/>
              <w:bottom w:w="80" w:type="dxa"/>
              <w:end w:w="120" w:type="dxa"/>
            </w:tcMar>
          </w:tcPr>
          <w:p>
            <w:pPr>
              <w:spacing w:after="0"/>
            </w:pPr>
            <w:r>
              <w:rPr>
                <w:rFonts w:ascii="Calibri" w:hAnsi="Calibri"/>
                <w:color w:val="232A34"/>
                <w:sz w:val="19"/>
              </w:rPr>
              <w:t>Hosted Groq language model and Whisper speech-to-text; no custom model training</w:t>
            </w:r>
          </w:p>
        </w:tc>
      </w:tr>
      <w:tr>
        <w:trPr>
          <w:cantSplit/>
        </w:trPr>
        <w:tc>
          <w:tcPr>
            <w:tcW w:type="dxa" w:w="1800"/>
            <w:vAlign w:val="center"/>
            <w:tcMar>
              <w:top w:w="80" w:type="dxa"/>
              <w:start w:w="120" w:type="dxa"/>
              <w:bottom w:w="80" w:type="dxa"/>
              <w:end w:w="120" w:type="dxa"/>
            </w:tcMar>
          </w:tcPr>
          <w:p>
            <w:pPr>
              <w:spacing w:after="0"/>
            </w:pPr>
            <w:r>
              <w:rPr>
                <w:rFonts w:ascii="Calibri" w:hAnsi="Calibri"/>
                <w:color w:val="232A34"/>
                <w:sz w:val="19"/>
              </w:rPr>
              <w:t>Database</w:t>
            </w:r>
          </w:p>
        </w:tc>
        <w:tc>
          <w:tcPr>
            <w:tcW w:type="dxa" w:w="3300"/>
            <w:vAlign w:val="center"/>
            <w:tcMar>
              <w:top w:w="80" w:type="dxa"/>
              <w:start w:w="120" w:type="dxa"/>
              <w:bottom w:w="80" w:type="dxa"/>
              <w:end w:w="120" w:type="dxa"/>
            </w:tcMar>
          </w:tcPr>
          <w:p>
            <w:pPr>
              <w:spacing w:after="0"/>
            </w:pPr>
            <w:r>
              <w:rPr>
                <w:rFonts w:ascii="Calibri" w:hAnsi="Calibri"/>
                <w:color w:val="232A34"/>
                <w:sz w:val="19"/>
              </w:rPr>
              <w:t>Hybrid PostgreSQL and MongoDB</w:t>
            </w:r>
          </w:p>
        </w:tc>
        <w:tc>
          <w:tcPr>
            <w:tcW w:type="dxa" w:w="4260"/>
            <w:vAlign w:val="center"/>
            <w:tcMar>
              <w:top w:w="80" w:type="dxa"/>
              <w:start w:w="120" w:type="dxa"/>
              <w:bottom w:w="80" w:type="dxa"/>
              <w:end w:w="120" w:type="dxa"/>
            </w:tcMar>
          </w:tcPr>
          <w:p>
            <w:pPr>
              <w:spacing w:after="0"/>
            </w:pPr>
            <w:r>
              <w:rPr>
                <w:rFonts w:ascii="Calibri" w:hAnsi="Calibri"/>
                <w:color w:val="232A34"/>
                <w:sz w:val="19"/>
              </w:rPr>
              <w:t>SQLAlchemy relational schema; SQLite locally; managed Neon PostgreSQL in production with Alembic migrations</w:t>
            </w:r>
          </w:p>
        </w:tc>
      </w:tr>
      <w:tr>
        <w:trPr>
          <w:cantSplit/>
        </w:trPr>
        <w:tc>
          <w:tcPr>
            <w:tcW w:type="dxa" w:w="1800"/>
            <w:vAlign w:val="center"/>
            <w:tcMar>
              <w:top w:w="80" w:type="dxa"/>
              <w:start w:w="120" w:type="dxa"/>
              <w:bottom w:w="80" w:type="dxa"/>
              <w:end w:w="120" w:type="dxa"/>
            </w:tcMar>
          </w:tcPr>
          <w:p>
            <w:pPr>
              <w:spacing w:after="0"/>
            </w:pPr>
            <w:r>
              <w:rPr>
                <w:rFonts w:ascii="Calibri" w:hAnsi="Calibri"/>
                <w:color w:val="232A34"/>
                <w:sz w:val="19"/>
              </w:rPr>
              <w:t>Infrastructure</w:t>
            </w:r>
          </w:p>
        </w:tc>
        <w:tc>
          <w:tcPr>
            <w:tcW w:type="dxa" w:w="3300"/>
            <w:vAlign w:val="center"/>
            <w:tcMar>
              <w:top w:w="80" w:type="dxa"/>
              <w:start w:w="120" w:type="dxa"/>
              <w:bottom w:w="80" w:type="dxa"/>
              <w:end w:w="120" w:type="dxa"/>
            </w:tcMar>
          </w:tcPr>
          <w:p>
            <w:pPr>
              <w:spacing w:after="0"/>
            </w:pPr>
            <w:r>
              <w:rPr>
                <w:rFonts w:ascii="Calibri" w:hAnsi="Calibri"/>
                <w:color w:val="232A34"/>
                <w:sz w:val="19"/>
              </w:rPr>
              <w:t>Docker/Kubernetes and large-scale cloud processing</w:t>
            </w:r>
          </w:p>
        </w:tc>
        <w:tc>
          <w:tcPr>
            <w:tcW w:type="dxa" w:w="4260"/>
            <w:vAlign w:val="center"/>
            <w:tcMar>
              <w:top w:w="80" w:type="dxa"/>
              <w:start w:w="120" w:type="dxa"/>
              <w:bottom w:w="80" w:type="dxa"/>
              <w:end w:w="120" w:type="dxa"/>
            </w:tcMar>
          </w:tcPr>
          <w:p>
            <w:pPr>
              <w:spacing w:after="0"/>
            </w:pPr>
            <w:r>
              <w:rPr>
                <w:rFonts w:ascii="Calibri" w:hAnsi="Calibri"/>
                <w:color w:val="232A34"/>
                <w:sz w:val="19"/>
              </w:rPr>
              <w:t>React and FastAPI deployed as Vercel applications</w:t>
            </w:r>
          </w:p>
        </w:tc>
      </w:tr>
      <w:tr>
        <w:trPr>
          <w:cantSplit/>
        </w:trPr>
        <w:tc>
          <w:tcPr>
            <w:tcW w:type="dxa" w:w="1800"/>
            <w:vAlign w:val="center"/>
            <w:tcMar>
              <w:top w:w="80" w:type="dxa"/>
              <w:start w:w="120" w:type="dxa"/>
              <w:bottom w:w="80" w:type="dxa"/>
              <w:end w:w="120" w:type="dxa"/>
            </w:tcMar>
          </w:tcPr>
          <w:p>
            <w:pPr>
              <w:spacing w:after="0"/>
            </w:pPr>
            <w:r>
              <w:rPr>
                <w:rFonts w:ascii="Calibri" w:hAnsi="Calibri"/>
                <w:color w:val="232A34"/>
                <w:sz w:val="19"/>
              </w:rPr>
              <w:t>Results</w:t>
            </w:r>
          </w:p>
        </w:tc>
        <w:tc>
          <w:tcPr>
            <w:tcW w:type="dxa" w:w="3300"/>
            <w:vAlign w:val="center"/>
            <w:tcMar>
              <w:top w:w="80" w:type="dxa"/>
              <w:start w:w="120" w:type="dxa"/>
              <w:bottom w:w="80" w:type="dxa"/>
              <w:end w:w="120" w:type="dxa"/>
            </w:tcMar>
          </w:tcPr>
          <w:p>
            <w:pPr>
              <w:spacing w:after="0"/>
            </w:pPr>
            <w:r>
              <w:rPr>
                <w:rFonts w:ascii="Calibri" w:hAnsi="Calibri"/>
                <w:color w:val="232A34"/>
                <w:sz w:val="19"/>
              </w:rPr>
              <w:t>Empirical validation and demonstrated effectiveness</w:t>
            </w:r>
          </w:p>
        </w:tc>
        <w:tc>
          <w:tcPr>
            <w:tcW w:type="dxa" w:w="4260"/>
            <w:vAlign w:val="center"/>
            <w:tcMar>
              <w:top w:w="80" w:type="dxa"/>
              <w:start w:w="120" w:type="dxa"/>
              <w:bottom w:w="80" w:type="dxa"/>
              <w:end w:w="120" w:type="dxa"/>
            </w:tcMar>
          </w:tcPr>
          <w:p>
            <w:pPr>
              <w:spacing w:after="0"/>
            </w:pPr>
            <w:r>
              <w:rPr>
                <w:rFonts w:ascii="Calibri" w:hAnsi="Calibri"/>
                <w:color w:val="232A34"/>
                <w:sz w:val="19"/>
              </w:rPr>
              <w:t>Functional verification only; no adequately powered learning-effectiveness study has been completed</w:t>
            </w:r>
          </w:p>
        </w:tc>
      </w:tr>
    </w:tbl>
    <w:p/>
    <w:p>
      <w:pPr>
        <w:pStyle w:val="Heading1"/>
      </w:pPr>
      <w:r>
        <w:t>Abstract</w:t>
      </w:r>
    </w:p>
    <w:p>
      <w:r>
        <w:rPr>
          <w:rFonts w:ascii="Calibri" w:hAnsi="Calibri"/>
          <w:color w:val="232A34"/>
          <w:sz w:val="22"/>
        </w:rPr>
        <w:t>LinguaLeap AI is an intelligent and interactive language-learning platform that supports Hindi, German, and Japanese learners through structured lessons, conversational practice, contextual translation, pronunciation practice, quizzes, and spaced review. The product is designed to make practice feel closer to working with a personal tutor than reading a static lesson. The React frontend presents reusable learner flows, while a FastAPI backend handles authentication, curriculum progress, AI requests, analytics, privacy controls, and research exports.</w:t>
      </w:r>
    </w:p>
    <w:p>
      <w:r>
        <w:rPr>
          <w:rFonts w:ascii="Calibri" w:hAnsi="Calibri"/>
          <w:color w:val="232A34"/>
          <w:sz w:val="22"/>
        </w:rPr>
        <w:t>The implemented AI layer uses Groq-hosted services. Tutor and translation responses are validated with Pydantic schemas, retried when malformed, protected by prompt-boundary instructions, and replaced with learner-safe fallbacks when the provider is unavailable. Pronunciation practice records microphone audio, transcribes it with Whisper, and calculates a transparent text-similarity score against the target phrase. This score is a practice aid and not a phoneme-level acoustic assessment.</w:t>
      </w:r>
    </w:p>
    <w:p>
      <w:r>
        <w:rPr>
          <w:rFonts w:ascii="Calibri" w:hAnsi="Calibri"/>
          <w:color w:val="232A34"/>
          <w:sz w:val="22"/>
        </w:rPr>
        <w:t>A consent-based evaluation layer records learner proficiency, language, skill, task complexity, modality, feedback strategy, measured interaction duration, experiment group, and optional pre/post-test scores. Observed and simulated records are separated. Simulated data exists only to demonstrate the dashboard and is excluded from primary research comparisons. Therefore, this report presents the platform as an implemented educational software project with a defensible future experiment design; it does not claim validated learning effectiveness.</w:t>
      </w:r>
    </w:p>
    <w:p>
      <w:pPr>
        <w:pStyle w:val="Heading1"/>
      </w:pPr>
      <w:r>
        <w:t>Contents</w:t>
      </w:r>
    </w:p>
    <w:p>
      <w:pPr>
        <w:spacing w:after="80" w:line="290" w:lineRule="auto"/>
        <w:numPr>
          <w:ilvl w:val="0"/>
          <w:numId w:val="10"/>
        </w:numPr>
      </w:pPr>
      <w:r>
        <w:rPr>
          <w:rFonts w:ascii="Calibri" w:hAnsi="Calibri"/>
          <w:color w:val="232A34"/>
          <w:sz w:val="22"/>
        </w:rPr>
        <w:t>Introduction and problem statement</w:t>
      </w:r>
    </w:p>
    <w:p>
      <w:pPr>
        <w:spacing w:after="80" w:line="290" w:lineRule="auto"/>
        <w:numPr>
          <w:ilvl w:val="0"/>
          <w:numId w:val="10"/>
        </w:numPr>
      </w:pPr>
      <w:r>
        <w:rPr>
          <w:rFonts w:ascii="Calibri" w:hAnsi="Calibri"/>
          <w:color w:val="232A34"/>
          <w:sz w:val="22"/>
        </w:rPr>
        <w:t>Objectives and project scope</w:t>
      </w:r>
    </w:p>
    <w:p>
      <w:pPr>
        <w:spacing w:after="80" w:line="290" w:lineRule="auto"/>
        <w:numPr>
          <w:ilvl w:val="0"/>
          <w:numId w:val="10"/>
        </w:numPr>
      </w:pPr>
      <w:r>
        <w:rPr>
          <w:rFonts w:ascii="Calibri" w:hAnsi="Calibri"/>
          <w:color w:val="232A34"/>
          <w:sz w:val="22"/>
        </w:rPr>
        <w:t>Implemented architecture and technology stack</w:t>
      </w:r>
    </w:p>
    <w:p>
      <w:pPr>
        <w:spacing w:after="80" w:line="290" w:lineRule="auto"/>
        <w:numPr>
          <w:ilvl w:val="0"/>
          <w:numId w:val="10"/>
        </w:numPr>
      </w:pPr>
      <w:r>
        <w:rPr>
          <w:rFonts w:ascii="Calibri" w:hAnsi="Calibri"/>
          <w:color w:val="232A34"/>
          <w:sz w:val="22"/>
        </w:rPr>
        <w:t>Learner-facing modules</w:t>
      </w:r>
    </w:p>
    <w:p>
      <w:pPr>
        <w:spacing w:after="80" w:line="290" w:lineRule="auto"/>
        <w:numPr>
          <w:ilvl w:val="0"/>
          <w:numId w:val="10"/>
        </w:numPr>
      </w:pPr>
      <w:r>
        <w:rPr>
          <w:rFonts w:ascii="Calibri" w:hAnsi="Calibri"/>
          <w:color w:val="232A34"/>
          <w:sz w:val="22"/>
        </w:rPr>
        <w:t>AI integration and reliability</w:t>
      </w:r>
    </w:p>
    <w:p>
      <w:pPr>
        <w:spacing w:after="80" w:line="290" w:lineRule="auto"/>
        <w:numPr>
          <w:ilvl w:val="0"/>
          <w:numId w:val="10"/>
        </w:numPr>
      </w:pPr>
      <w:r>
        <w:rPr>
          <w:rFonts w:ascii="Calibri" w:hAnsi="Calibri"/>
          <w:color w:val="232A34"/>
          <w:sz w:val="22"/>
        </w:rPr>
        <w:t>Data model and longitudinal memory</w:t>
      </w:r>
    </w:p>
    <w:p>
      <w:pPr>
        <w:spacing w:after="80" w:line="290" w:lineRule="auto"/>
        <w:numPr>
          <w:ilvl w:val="0"/>
          <w:numId w:val="10"/>
        </w:numPr>
      </w:pPr>
      <w:r>
        <w:rPr>
          <w:rFonts w:ascii="Calibri" w:hAnsi="Calibri"/>
          <w:color w:val="232A34"/>
          <w:sz w:val="22"/>
        </w:rPr>
        <w:t>Spaced repetition</w:t>
      </w:r>
    </w:p>
    <w:p>
      <w:pPr>
        <w:spacing w:after="80" w:line="290" w:lineRule="auto"/>
        <w:numPr>
          <w:ilvl w:val="0"/>
          <w:numId w:val="10"/>
        </w:numPr>
      </w:pPr>
      <w:r>
        <w:rPr>
          <w:rFonts w:ascii="Calibri" w:hAnsi="Calibri"/>
          <w:color w:val="232A34"/>
          <w:sz w:val="22"/>
        </w:rPr>
        <w:t>Moderator-aware experiment design</w:t>
      </w:r>
    </w:p>
    <w:p>
      <w:pPr>
        <w:spacing w:after="80" w:line="290" w:lineRule="auto"/>
        <w:numPr>
          <w:ilvl w:val="0"/>
          <w:numId w:val="10"/>
        </w:numPr>
      </w:pPr>
      <w:r>
        <w:rPr>
          <w:rFonts w:ascii="Calibri" w:hAnsi="Calibri"/>
          <w:color w:val="232A34"/>
          <w:sz w:val="22"/>
        </w:rPr>
        <w:t>Analytics methodology and evidence rules</w:t>
      </w:r>
    </w:p>
    <w:p>
      <w:pPr>
        <w:spacing w:after="80" w:line="290" w:lineRule="auto"/>
        <w:numPr>
          <w:ilvl w:val="0"/>
          <w:numId w:val="10"/>
        </w:numPr>
      </w:pPr>
      <w:r>
        <w:rPr>
          <w:rFonts w:ascii="Calibri" w:hAnsi="Calibri"/>
          <w:color w:val="232A34"/>
          <w:sz w:val="22"/>
        </w:rPr>
        <w:t>Research ethics and privacy</w:t>
      </w:r>
    </w:p>
    <w:p>
      <w:pPr>
        <w:spacing w:after="80" w:line="290" w:lineRule="auto"/>
        <w:numPr>
          <w:ilvl w:val="0"/>
          <w:numId w:val="10"/>
        </w:numPr>
      </w:pPr>
      <w:r>
        <w:rPr>
          <w:rFonts w:ascii="Calibri" w:hAnsi="Calibri"/>
          <w:color w:val="232A34"/>
          <w:sz w:val="22"/>
        </w:rPr>
        <w:t>Testing and verification</w:t>
      </w:r>
    </w:p>
    <w:p>
      <w:pPr>
        <w:spacing w:after="80" w:line="290" w:lineRule="auto"/>
        <w:numPr>
          <w:ilvl w:val="0"/>
          <w:numId w:val="10"/>
        </w:numPr>
      </w:pPr>
      <w:r>
        <w:rPr>
          <w:rFonts w:ascii="Calibri" w:hAnsi="Calibri"/>
          <w:color w:val="232A34"/>
          <w:sz w:val="22"/>
        </w:rPr>
        <w:t>Deployment, persistence, and limitations</w:t>
      </w:r>
    </w:p>
    <w:p>
      <w:pPr>
        <w:spacing w:after="80" w:line="290" w:lineRule="auto"/>
        <w:numPr>
          <w:ilvl w:val="0"/>
          <w:numId w:val="10"/>
        </w:numPr>
      </w:pPr>
      <w:r>
        <w:rPr>
          <w:rFonts w:ascii="Calibri" w:hAnsi="Calibri"/>
          <w:color w:val="232A34"/>
          <w:sz w:val="22"/>
        </w:rPr>
        <w:t>Results, future work, and conclusion</w:t>
      </w:r>
    </w:p>
    <w:p>
      <w:pPr>
        <w:spacing w:after="80" w:line="290" w:lineRule="auto"/>
        <w:numPr>
          <w:ilvl w:val="0"/>
          <w:numId w:val="10"/>
        </w:numPr>
      </w:pPr>
      <w:r>
        <w:rPr>
          <w:rFonts w:ascii="Calibri" w:hAnsi="Calibri"/>
          <w:color w:val="232A34"/>
          <w:sz w:val="22"/>
        </w:rPr>
        <w:t>Appendix A. API surface</w:t>
      </w:r>
    </w:p>
    <w:p>
      <w:pPr>
        <w:spacing w:after="80" w:line="290" w:lineRule="auto"/>
        <w:numPr>
          <w:ilvl w:val="0"/>
          <w:numId w:val="10"/>
        </w:numPr>
      </w:pPr>
      <w:r>
        <w:rPr>
          <w:rFonts w:ascii="Calibri" w:hAnsi="Calibri"/>
          <w:color w:val="232A34"/>
          <w:sz w:val="22"/>
        </w:rPr>
        <w:t>Appendix B. Claim audit</w:t>
      </w:r>
    </w:p>
    <w:p>
      <w:r>
        <w:br w:type="page"/>
      </w:r>
    </w:p>
    <w:p>
      <w:pPr>
        <w:pStyle w:val="Heading1"/>
      </w:pPr>
      <w:r>
        <w:t>1. Introduction and Problem Statement</w:t>
      </w:r>
    </w:p>
    <w:p>
      <w:r>
        <w:rPr>
          <w:rFonts w:ascii="Calibri" w:hAnsi="Calibri"/>
          <w:color w:val="232A34"/>
          <w:sz w:val="22"/>
        </w:rPr>
        <w:t>Traditional language-learning workflows can become repetitive because they separate reading, conversation, pronunciation, translation, and review into disconnected activities. Learners also receive limited immediate feedback and may not know which vocabulary or grammar patterns need revisiting. LinguaLeap AI addresses this product problem through one connected learning environment.</w:t>
      </w:r>
    </w:p>
    <w:p>
      <w:pPr>
        <w:pStyle w:val="Heading2"/>
      </w:pPr>
      <w:r>
        <w:t>1.1 Product Context</w:t>
      </w:r>
    </w:p>
    <w:p>
      <w:r>
        <w:rPr>
          <w:rFonts w:ascii="Calibri" w:hAnsi="Calibri"/>
          <w:color w:val="232A34"/>
          <w:sz w:val="22"/>
        </w:rPr>
        <w:t>The main learning direction is English to Hindi, with German and Japanese included to demonstrate reusable curriculum and practice components. The application is learner-first: research controls support responsible evaluation but do not replace the central experience of lessons, practice, feedback, and progress.</w:t>
      </w:r>
    </w:p>
    <w:p>
      <w:pPr>
        <w:pStyle w:val="Heading2"/>
      </w:pPr>
      <w:r>
        <w:t>1.2 Problem Statement</w:t>
      </w:r>
    </w:p>
    <w:p>
      <w:r>
        <w:rPr>
          <w:rFonts w:ascii="Calibri" w:hAnsi="Calibri"/>
          <w:color w:val="232A34"/>
          <w:sz w:val="22"/>
        </w:rPr>
        <w:t>How can a web-based platform combine structured language content, conversational AI, speaking and translation practice, learner memory, and transparent progress analytics while collecting enough consented context to support future educational evaluation?</w:t>
      </w:r>
    </w:p>
    <w:p>
      <w:pPr>
        <w:pStyle w:val="Heading2"/>
      </w:pPr>
      <w:r>
        <w:t>1.3 Stakeholders</w:t>
      </w:r>
    </w:p>
    <w:p>
      <w:pPr>
        <w:pStyle w:val="ListBullet"/>
      </w:pPr>
      <w:r>
        <w:rPr>
          <w:rFonts w:ascii="Calibri" w:hAnsi="Calibri"/>
          <w:color w:val="232A34"/>
          <w:sz w:val="22"/>
        </w:rPr>
        <w:t>Learners who need engaging and repeatable practice.</w:t>
      </w:r>
    </w:p>
    <w:p>
      <w:pPr>
        <w:pStyle w:val="ListBullet"/>
      </w:pPr>
      <w:r>
        <w:rPr>
          <w:rFonts w:ascii="Calibri" w:hAnsi="Calibri"/>
          <w:color w:val="232A34"/>
          <w:sz w:val="22"/>
        </w:rPr>
        <w:t>Educators who need interpretable progress records rather than opaque AI scores.</w:t>
      </w:r>
    </w:p>
    <w:p>
      <w:pPr>
        <w:pStyle w:val="ListBullet"/>
      </w:pPr>
      <w:r>
        <w:rPr>
          <w:rFonts w:ascii="Calibri" w:hAnsi="Calibri"/>
          <w:color w:val="232A34"/>
          <w:sz w:val="22"/>
        </w:rPr>
        <w:t>Project evaluators who need a truthful demonstration of implemented features.</w:t>
      </w:r>
    </w:p>
    <w:p>
      <w:pPr>
        <w:pStyle w:val="ListBullet"/>
      </w:pPr>
      <w:r>
        <w:rPr>
          <w:rFonts w:ascii="Calibri" w:hAnsi="Calibri"/>
          <w:color w:val="232A34"/>
          <w:sz w:val="22"/>
        </w:rPr>
        <w:t>Authorized researchers who need anonymized, consent-gated interaction data.</w:t>
      </w:r>
    </w:p>
    <w:p>
      <w:pPr>
        <w:pStyle w:val="Heading1"/>
      </w:pPr>
      <w:r>
        <w:t>2. Objectives and Project Scope</w:t>
      </w:r>
    </w:p>
    <w:p>
      <w:pPr>
        <w:pStyle w:val="Heading2"/>
      </w:pPr>
      <w:r>
        <w:t>2.1 Implemented Objectives</w:t>
      </w:r>
    </w:p>
    <w:p>
      <w:pPr>
        <w:pStyle w:val="ListBullet"/>
      </w:pPr>
      <w:r>
        <w:rPr>
          <w:rFonts w:ascii="Calibri" w:hAnsi="Calibri"/>
          <w:color w:val="232A34"/>
          <w:sz w:val="22"/>
        </w:rPr>
        <w:t>Provide reusable React interfaces for authentication, language selection, lessons, practice, analytics, and privacy.</w:t>
      </w:r>
    </w:p>
    <w:p>
      <w:pPr>
        <w:pStyle w:val="ListBullet"/>
      </w:pPr>
      <w:r>
        <w:rPr>
          <w:rFonts w:ascii="Calibri" w:hAnsi="Calibri"/>
          <w:color w:val="232A34"/>
          <w:sz w:val="22"/>
        </w:rPr>
        <w:t>Support AI tutor conversations with corrections, encouragement, vocabulary memory, and grammar memory.</w:t>
      </w:r>
    </w:p>
    <w:p>
      <w:pPr>
        <w:pStyle w:val="ListBullet"/>
      </w:pPr>
      <w:r>
        <w:rPr>
          <w:rFonts w:ascii="Calibri" w:hAnsi="Calibri"/>
          <w:color w:val="232A34"/>
          <w:sz w:val="22"/>
        </w:rPr>
        <w:t>Provide translation with native script, romanization, and concise cultural notes.</w:t>
      </w:r>
    </w:p>
    <w:p>
      <w:pPr>
        <w:pStyle w:val="ListBullet"/>
      </w:pPr>
      <w:r>
        <w:rPr>
          <w:rFonts w:ascii="Calibri" w:hAnsi="Calibri"/>
          <w:color w:val="232A34"/>
          <w:sz w:val="22"/>
        </w:rPr>
        <w:t>Provide microphone-based pronunciation practice using speech-to-text and transparent similarity scoring.</w:t>
      </w:r>
    </w:p>
    <w:p>
      <w:pPr>
        <w:pStyle w:val="ListBullet"/>
      </w:pPr>
      <w:r>
        <w:rPr>
          <w:rFonts w:ascii="Calibri" w:hAnsi="Calibri"/>
          <w:color w:val="232A34"/>
          <w:sz w:val="22"/>
        </w:rPr>
        <w:t>Track lesson completion, XP, quiz performance, skill performance, and spaced-review state.</w:t>
      </w:r>
    </w:p>
    <w:p>
      <w:pPr>
        <w:pStyle w:val="ListBullet"/>
      </w:pPr>
      <w:r>
        <w:rPr>
          <w:rFonts w:ascii="Calibri" w:hAnsi="Calibri"/>
          <w:color w:val="232A34"/>
          <w:sz w:val="22"/>
        </w:rPr>
        <w:t>Record moderator variables and optional pre/post assessments for consented evaluation.</w:t>
      </w:r>
    </w:p>
    <w:p>
      <w:pPr>
        <w:pStyle w:val="ListBullet"/>
      </w:pPr>
      <w:r>
        <w:rPr>
          <w:rFonts w:ascii="Calibri" w:hAnsi="Calibri"/>
          <w:color w:val="232A34"/>
          <w:sz w:val="22"/>
        </w:rPr>
        <w:t>Separate simulated demonstration records from observed learner records.</w:t>
      </w:r>
    </w:p>
    <w:p>
      <w:pPr>
        <w:pStyle w:val="ListBullet"/>
      </w:pPr>
      <w:r>
        <w:rPr>
          <w:rFonts w:ascii="Calibri" w:hAnsi="Calibri"/>
          <w:color w:val="232A34"/>
          <w:sz w:val="22"/>
        </w:rPr>
        <w:t>Provide participant consent withdrawal, personal data export, and account deletion.</w:t>
      </w:r>
    </w:p>
    <w:p>
      <w:pPr>
        <w:pStyle w:val="Heading2"/>
      </w:pPr>
      <w:r>
        <w:t>2.2 Out of Scope</w:t>
      </w:r>
    </w:p>
    <w:p>
      <w:pPr>
        <w:pStyle w:val="ListBullet"/>
      </w:pPr>
      <w:r>
        <w:rPr>
          <w:rFonts w:ascii="Calibri" w:hAnsi="Calibri"/>
          <w:color w:val="232A34"/>
          <w:sz w:val="22"/>
        </w:rPr>
        <w:t>Training or fine-tuning a proprietary language model.</w:t>
      </w:r>
    </w:p>
    <w:p>
      <w:pPr>
        <w:pStyle w:val="ListBullet"/>
      </w:pPr>
      <w:r>
        <w:rPr>
          <w:rFonts w:ascii="Calibri" w:hAnsi="Calibri"/>
          <w:color w:val="232A34"/>
          <w:sz w:val="22"/>
        </w:rPr>
        <w:t>Claiming phoneme-level pronunciation diagnosis.</w:t>
      </w:r>
    </w:p>
    <w:p>
      <w:pPr>
        <w:pStyle w:val="ListBullet"/>
      </w:pPr>
      <w:r>
        <w:rPr>
          <w:rFonts w:ascii="Calibri" w:hAnsi="Calibri"/>
          <w:color w:val="232A34"/>
          <w:sz w:val="22"/>
        </w:rPr>
        <w:t>Conducting a completed meta-analysis across published studies.</w:t>
      </w:r>
    </w:p>
    <w:p>
      <w:pPr>
        <w:pStyle w:val="ListBullet"/>
      </w:pPr>
      <w:r>
        <w:rPr>
          <w:rFonts w:ascii="Calibri" w:hAnsi="Calibri"/>
          <w:color w:val="232A34"/>
          <w:sz w:val="22"/>
        </w:rPr>
        <w:t>Claiming statistically validated improvement or production-scale reliability.</w:t>
      </w:r>
    </w:p>
    <w:p>
      <w:pPr>
        <w:pStyle w:val="ListBullet"/>
      </w:pPr>
      <w:r>
        <w:rPr>
          <w:rFonts w:ascii="Calibri" w:hAnsi="Calibri"/>
          <w:color w:val="232A34"/>
          <w:sz w:val="22"/>
        </w:rPr>
        <w:t>Using TensorFlow, PyTorch, MongoDB, Kubernetes, or a hybrid database architecture.</w:t>
      </w:r>
    </w:p>
    <w:p>
      <w:pPr>
        <w:pStyle w:val="Heading1"/>
      </w:pPr>
      <w:r>
        <w:t>3. Implemented Architecture and Technology Stack</w:t>
      </w:r>
    </w:p>
    <w:p>
      <w:r>
        <w:drawing>
          <wp:inline xmlns:a="http://schemas.openxmlformats.org/drawingml/2006/main" xmlns:pic="http://schemas.openxmlformats.org/drawingml/2006/picture">
            <wp:extent cx="5897880" cy="2654046"/>
            <wp:docPr id="1" name="Picture 1" descr="Three-column architecture diagram showing the React frontend flowing to the FastAPI backend and then to SQLAlchemy persistence." title="LinguaLeap implemented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2654046"/>
                    </a:xfrm>
                    <a:prstGeom prst="rect"/>
                  </pic:spPr>
                </pic:pic>
              </a:graphicData>
            </a:graphic>
          </wp:inline>
        </w:drawing>
      </w:r>
    </w:p>
    <w:p>
      <w:pPr>
        <w:jc w:val="center"/>
      </w:pPr>
      <w:r>
        <w:rPr>
          <w:i/>
          <w:sz w:val="18"/>
        </w:rPr>
        <w:t>Figure 1. Implemented system architecture.</w:t>
      </w:r>
    </w:p>
    <w:p>
      <w:pPr>
        <w:pStyle w:val="Heading2"/>
      </w:pPr>
      <w:r>
        <w:t>3.1 Technology Stack</w:t>
      </w:r>
    </w:p>
    <w:tbl>
      <w:tblPr>
        <w:tblStyle w:val="TableGrid"/>
        <w:tblW w:type="dxa" w:w="9360"/>
        <w:jc w:val="left"/>
        <w:tblLayout w:type="fixed"/>
        <w:tblLook w:firstColumn="1" w:firstRow="1" w:lastColumn="0" w:lastRow="0" w:noHBand="0" w:noVBand="1" w:val="04A0"/>
        <w:tblInd w:w="120" w:type="dxa"/>
      </w:tblPr>
      <w:tblGrid>
        <w:gridCol w:w="1500"/>
        <w:gridCol w:w="3000"/>
        <w:gridCol w:w="4860"/>
      </w:tblGrid>
      <w:tr>
        <w:trPr>
          <w:tblHeader w:val="true"/>
        </w:trPr>
        <w:tc>
          <w:tcPr>
            <w:tcW w:type="dxa" w:w="1500"/>
            <w:shd w:fill="E8EEF5"/>
            <w:vAlign w:val="center"/>
            <w:tcMar>
              <w:top w:w="80" w:type="dxa"/>
              <w:start w:w="120" w:type="dxa"/>
              <w:bottom w:w="80" w:type="dxa"/>
              <w:end w:w="120" w:type="dxa"/>
            </w:tcMar>
          </w:tcPr>
          <w:p>
            <w:pPr>
              <w:spacing w:after="0"/>
            </w:pPr>
            <w:r>
              <w:rPr>
                <w:rFonts w:ascii="Calibri" w:hAnsi="Calibri"/>
                <w:b/>
                <w:color w:val="1F3A5F"/>
                <w:sz w:val="19"/>
              </w:rPr>
              <w:t>Layer</w:t>
            </w:r>
          </w:p>
        </w:tc>
        <w:tc>
          <w:tcPr>
            <w:tcW w:type="dxa" w:w="3000"/>
            <w:shd w:fill="E8EEF5"/>
            <w:vAlign w:val="center"/>
            <w:tcMar>
              <w:top w:w="80" w:type="dxa"/>
              <w:start w:w="120" w:type="dxa"/>
              <w:bottom w:w="80" w:type="dxa"/>
              <w:end w:w="120" w:type="dxa"/>
            </w:tcMar>
          </w:tcPr>
          <w:p>
            <w:pPr>
              <w:spacing w:after="0"/>
            </w:pPr>
            <w:r>
              <w:rPr>
                <w:rFonts w:ascii="Calibri" w:hAnsi="Calibri"/>
                <w:b/>
                <w:color w:val="1F3A5F"/>
                <w:sz w:val="19"/>
              </w:rPr>
              <w:t>Implemented technology</w:t>
            </w:r>
          </w:p>
        </w:tc>
        <w:tc>
          <w:tcPr>
            <w:tcW w:type="dxa" w:w="4860"/>
            <w:shd w:fill="E8EEF5"/>
            <w:vAlign w:val="center"/>
            <w:tcMar>
              <w:top w:w="80" w:type="dxa"/>
              <w:start w:w="120" w:type="dxa"/>
              <w:bottom w:w="80" w:type="dxa"/>
              <w:end w:w="120" w:type="dxa"/>
            </w:tcMar>
          </w:tcPr>
          <w:p>
            <w:pPr>
              <w:spacing w:after="0"/>
            </w:pPr>
            <w:r>
              <w:rPr>
                <w:rFonts w:ascii="Calibri" w:hAnsi="Calibri"/>
                <w:b/>
                <w:color w:val="1F3A5F"/>
                <w:sz w:val="19"/>
              </w:rPr>
              <w:t>Responsibility</w:t>
            </w:r>
          </w:p>
        </w:tc>
      </w:tr>
      <w:tr>
        <w:trPr>
          <w:cantSplit/>
        </w:trPr>
        <w:tc>
          <w:tcPr>
            <w:tcW w:type="dxa" w:w="1500"/>
            <w:vAlign w:val="center"/>
            <w:tcMar>
              <w:top w:w="80" w:type="dxa"/>
              <w:start w:w="120" w:type="dxa"/>
              <w:bottom w:w="80" w:type="dxa"/>
              <w:end w:w="120" w:type="dxa"/>
            </w:tcMar>
          </w:tcPr>
          <w:p>
            <w:pPr>
              <w:spacing w:after="0"/>
            </w:pPr>
            <w:r>
              <w:rPr>
                <w:rFonts w:ascii="Calibri" w:hAnsi="Calibri"/>
                <w:color w:val="232A34"/>
                <w:sz w:val="19"/>
              </w:rPr>
              <w:t>Frontend</w:t>
            </w:r>
          </w:p>
        </w:tc>
        <w:tc>
          <w:tcPr>
            <w:tcW w:type="dxa" w:w="3000"/>
            <w:vAlign w:val="center"/>
            <w:tcMar>
              <w:top w:w="80" w:type="dxa"/>
              <w:start w:w="120" w:type="dxa"/>
              <w:bottom w:w="80" w:type="dxa"/>
              <w:end w:w="120" w:type="dxa"/>
            </w:tcMar>
          </w:tcPr>
          <w:p>
            <w:pPr>
              <w:spacing w:after="0"/>
            </w:pPr>
            <w:r>
              <w:rPr>
                <w:rFonts w:ascii="Calibri" w:hAnsi="Calibri"/>
                <w:color w:val="232A34"/>
                <w:sz w:val="19"/>
              </w:rPr>
              <w:t>React, TypeScript, Vite, Zustand, Axios</w:t>
            </w:r>
          </w:p>
        </w:tc>
        <w:tc>
          <w:tcPr>
            <w:tcW w:type="dxa" w:w="4860"/>
            <w:vAlign w:val="center"/>
            <w:tcMar>
              <w:top w:w="80" w:type="dxa"/>
              <w:start w:w="120" w:type="dxa"/>
              <w:bottom w:w="80" w:type="dxa"/>
              <w:end w:w="120" w:type="dxa"/>
            </w:tcMar>
          </w:tcPr>
          <w:p>
            <w:pPr>
              <w:spacing w:after="0"/>
            </w:pPr>
            <w:r>
              <w:rPr>
                <w:rFonts w:ascii="Calibri" w:hAnsi="Calibri"/>
                <w:color w:val="232A34"/>
                <w:sz w:val="19"/>
              </w:rPr>
              <w:t>Learner interface, persisted authentication state, API integration</w:t>
            </w:r>
          </w:p>
        </w:tc>
      </w:tr>
      <w:tr>
        <w:trPr>
          <w:cantSplit/>
        </w:trPr>
        <w:tc>
          <w:tcPr>
            <w:tcW w:type="dxa" w:w="1500"/>
            <w:vAlign w:val="center"/>
            <w:tcMar>
              <w:top w:w="80" w:type="dxa"/>
              <w:start w:w="120" w:type="dxa"/>
              <w:bottom w:w="80" w:type="dxa"/>
              <w:end w:w="120" w:type="dxa"/>
            </w:tcMar>
          </w:tcPr>
          <w:p>
            <w:pPr>
              <w:spacing w:after="0"/>
            </w:pPr>
            <w:r>
              <w:rPr>
                <w:rFonts w:ascii="Calibri" w:hAnsi="Calibri"/>
                <w:color w:val="232A34"/>
                <w:sz w:val="19"/>
              </w:rPr>
              <w:t>Backend</w:t>
            </w:r>
          </w:p>
        </w:tc>
        <w:tc>
          <w:tcPr>
            <w:tcW w:type="dxa" w:w="3000"/>
            <w:vAlign w:val="center"/>
            <w:tcMar>
              <w:top w:w="80" w:type="dxa"/>
              <w:start w:w="120" w:type="dxa"/>
              <w:bottom w:w="80" w:type="dxa"/>
              <w:end w:w="120" w:type="dxa"/>
            </w:tcMar>
          </w:tcPr>
          <w:p>
            <w:pPr>
              <w:spacing w:after="0"/>
            </w:pPr>
            <w:r>
              <w:rPr>
                <w:rFonts w:ascii="Calibri" w:hAnsi="Calibri"/>
                <w:color w:val="232A34"/>
                <w:sz w:val="19"/>
              </w:rPr>
              <w:t>FastAPI, Pydantic, SQLAlchemy</w:t>
            </w:r>
          </w:p>
        </w:tc>
        <w:tc>
          <w:tcPr>
            <w:tcW w:type="dxa" w:w="4860"/>
            <w:vAlign w:val="center"/>
            <w:tcMar>
              <w:top w:w="80" w:type="dxa"/>
              <w:start w:w="120" w:type="dxa"/>
              <w:bottom w:w="80" w:type="dxa"/>
              <w:end w:w="120" w:type="dxa"/>
            </w:tcMar>
          </w:tcPr>
          <w:p>
            <w:pPr>
              <w:spacing w:after="0"/>
            </w:pPr>
            <w:r>
              <w:rPr>
                <w:rFonts w:ascii="Calibri" w:hAnsi="Calibri"/>
                <w:color w:val="232A34"/>
                <w:sz w:val="19"/>
              </w:rPr>
              <w:t>REST endpoints, validation, business rules, persistence</w:t>
            </w:r>
          </w:p>
        </w:tc>
      </w:tr>
      <w:tr>
        <w:trPr>
          <w:cantSplit/>
        </w:trPr>
        <w:tc>
          <w:tcPr>
            <w:tcW w:type="dxa" w:w="1500"/>
            <w:vAlign w:val="center"/>
            <w:tcMar>
              <w:top w:w="80" w:type="dxa"/>
              <w:start w:w="120" w:type="dxa"/>
              <w:bottom w:w="80" w:type="dxa"/>
              <w:end w:w="120" w:type="dxa"/>
            </w:tcMar>
          </w:tcPr>
          <w:p>
            <w:pPr>
              <w:spacing w:after="0"/>
            </w:pPr>
            <w:r>
              <w:rPr>
                <w:rFonts w:ascii="Calibri" w:hAnsi="Calibri"/>
                <w:color w:val="232A34"/>
                <w:sz w:val="19"/>
              </w:rPr>
              <w:t>Security</w:t>
            </w:r>
          </w:p>
        </w:tc>
        <w:tc>
          <w:tcPr>
            <w:tcW w:type="dxa" w:w="3000"/>
            <w:vAlign w:val="center"/>
            <w:tcMar>
              <w:top w:w="80" w:type="dxa"/>
              <w:start w:w="120" w:type="dxa"/>
              <w:bottom w:w="80" w:type="dxa"/>
              <w:end w:w="120" w:type="dxa"/>
            </w:tcMar>
          </w:tcPr>
          <w:p>
            <w:pPr>
              <w:spacing w:after="0"/>
            </w:pPr>
            <w:r>
              <w:rPr>
                <w:rFonts w:ascii="Calibri" w:hAnsi="Calibri"/>
                <w:color w:val="232A34"/>
                <w:sz w:val="19"/>
              </w:rPr>
              <w:t>bcrypt, JWT</w:t>
            </w:r>
          </w:p>
        </w:tc>
        <w:tc>
          <w:tcPr>
            <w:tcW w:type="dxa" w:w="4860"/>
            <w:vAlign w:val="center"/>
            <w:tcMar>
              <w:top w:w="80" w:type="dxa"/>
              <w:start w:w="120" w:type="dxa"/>
              <w:bottom w:w="80" w:type="dxa"/>
              <w:end w:w="120" w:type="dxa"/>
            </w:tcMar>
          </w:tcPr>
          <w:p>
            <w:pPr>
              <w:spacing w:after="0"/>
            </w:pPr>
            <w:r>
              <w:rPr>
                <w:rFonts w:ascii="Calibri" w:hAnsi="Calibri"/>
                <w:color w:val="232A34"/>
                <w:sz w:val="19"/>
              </w:rPr>
              <w:t>Password hashing and authenticated API access</w:t>
            </w:r>
          </w:p>
        </w:tc>
      </w:tr>
      <w:tr>
        <w:trPr>
          <w:cantSplit/>
        </w:trPr>
        <w:tc>
          <w:tcPr>
            <w:tcW w:type="dxa" w:w="1500"/>
            <w:vAlign w:val="center"/>
            <w:tcMar>
              <w:top w:w="80" w:type="dxa"/>
              <w:start w:w="120" w:type="dxa"/>
              <w:bottom w:w="80" w:type="dxa"/>
              <w:end w:w="120" w:type="dxa"/>
            </w:tcMar>
          </w:tcPr>
          <w:p>
            <w:pPr>
              <w:spacing w:after="0"/>
            </w:pPr>
            <w:r>
              <w:rPr>
                <w:rFonts w:ascii="Calibri" w:hAnsi="Calibri"/>
                <w:color w:val="232A34"/>
                <w:sz w:val="19"/>
              </w:rPr>
              <w:t>AI services</w:t>
            </w:r>
          </w:p>
        </w:tc>
        <w:tc>
          <w:tcPr>
            <w:tcW w:type="dxa" w:w="3000"/>
            <w:vAlign w:val="center"/>
            <w:tcMar>
              <w:top w:w="80" w:type="dxa"/>
              <w:start w:w="120" w:type="dxa"/>
              <w:bottom w:w="80" w:type="dxa"/>
              <w:end w:w="120" w:type="dxa"/>
            </w:tcMar>
          </w:tcPr>
          <w:p>
            <w:pPr>
              <w:spacing w:after="0"/>
            </w:pPr>
            <w:r>
              <w:rPr>
                <w:rFonts w:ascii="Calibri" w:hAnsi="Calibri"/>
                <w:color w:val="232A34"/>
                <w:sz w:val="19"/>
              </w:rPr>
              <w:t>Groq-hosted LLM and Whisper</w:t>
            </w:r>
          </w:p>
        </w:tc>
        <w:tc>
          <w:tcPr>
            <w:tcW w:type="dxa" w:w="4860"/>
            <w:vAlign w:val="center"/>
            <w:tcMar>
              <w:top w:w="80" w:type="dxa"/>
              <w:start w:w="120" w:type="dxa"/>
              <w:bottom w:w="80" w:type="dxa"/>
              <w:end w:w="120" w:type="dxa"/>
            </w:tcMar>
          </w:tcPr>
          <w:p>
            <w:pPr>
              <w:spacing w:after="0"/>
            </w:pPr>
            <w:r>
              <w:rPr>
                <w:rFonts w:ascii="Calibri" w:hAnsi="Calibri"/>
                <w:color w:val="232A34"/>
                <w:sz w:val="19"/>
              </w:rPr>
              <w:t>Tutor, translation, and speech transcription</w:t>
            </w:r>
          </w:p>
        </w:tc>
      </w:tr>
      <w:tr>
        <w:trPr>
          <w:cantSplit/>
        </w:trPr>
        <w:tc>
          <w:tcPr>
            <w:tcW w:type="dxa" w:w="1500"/>
            <w:vAlign w:val="center"/>
            <w:tcMar>
              <w:top w:w="80" w:type="dxa"/>
              <w:start w:w="120" w:type="dxa"/>
              <w:bottom w:w="80" w:type="dxa"/>
              <w:end w:w="120" w:type="dxa"/>
            </w:tcMar>
          </w:tcPr>
          <w:p>
            <w:pPr>
              <w:spacing w:after="0"/>
            </w:pPr>
            <w:r>
              <w:rPr>
                <w:rFonts w:ascii="Calibri" w:hAnsi="Calibri"/>
                <w:color w:val="232A34"/>
                <w:sz w:val="19"/>
              </w:rPr>
              <w:t>Database</w:t>
            </w:r>
          </w:p>
        </w:tc>
        <w:tc>
          <w:tcPr>
            <w:tcW w:type="dxa" w:w="3000"/>
            <w:vAlign w:val="center"/>
            <w:tcMar>
              <w:top w:w="80" w:type="dxa"/>
              <w:start w:w="120" w:type="dxa"/>
              <w:bottom w:w="80" w:type="dxa"/>
              <w:end w:w="120" w:type="dxa"/>
            </w:tcMar>
          </w:tcPr>
          <w:p>
            <w:pPr>
              <w:spacing w:after="0"/>
            </w:pPr>
            <w:r>
              <w:rPr>
                <w:rFonts w:ascii="Calibri" w:hAnsi="Calibri"/>
                <w:color w:val="232A34"/>
                <w:sz w:val="19"/>
              </w:rPr>
              <w:t>SQLite local; managed Neon PostgreSQL production</w:t>
            </w:r>
          </w:p>
        </w:tc>
        <w:tc>
          <w:tcPr>
            <w:tcW w:type="dxa" w:w="4860"/>
            <w:vAlign w:val="center"/>
            <w:tcMar>
              <w:top w:w="80" w:type="dxa"/>
              <w:start w:w="120" w:type="dxa"/>
              <w:bottom w:w="80" w:type="dxa"/>
              <w:end w:w="120" w:type="dxa"/>
            </w:tcMar>
          </w:tcPr>
          <w:p>
            <w:pPr>
              <w:spacing w:after="0"/>
            </w:pPr>
            <w:r>
              <w:rPr>
                <w:rFonts w:ascii="Calibri" w:hAnsi="Calibri"/>
                <w:color w:val="232A34"/>
                <w:sz w:val="19"/>
              </w:rPr>
              <w:t>Accounts, progress, interactions, review schedules</w:t>
            </w:r>
          </w:p>
        </w:tc>
      </w:tr>
      <w:tr>
        <w:trPr>
          <w:cantSplit/>
        </w:trPr>
        <w:tc>
          <w:tcPr>
            <w:tcW w:type="dxa" w:w="1500"/>
            <w:vAlign w:val="center"/>
            <w:tcMar>
              <w:top w:w="80" w:type="dxa"/>
              <w:start w:w="120" w:type="dxa"/>
              <w:bottom w:w="80" w:type="dxa"/>
              <w:end w:w="120" w:type="dxa"/>
            </w:tcMar>
          </w:tcPr>
          <w:p>
            <w:pPr>
              <w:spacing w:after="0"/>
            </w:pPr>
            <w:r>
              <w:rPr>
                <w:rFonts w:ascii="Calibri" w:hAnsi="Calibri"/>
                <w:color w:val="232A34"/>
                <w:sz w:val="19"/>
              </w:rPr>
              <w:t>Migrations</w:t>
            </w:r>
          </w:p>
        </w:tc>
        <w:tc>
          <w:tcPr>
            <w:tcW w:type="dxa" w:w="3000"/>
            <w:vAlign w:val="center"/>
            <w:tcMar>
              <w:top w:w="80" w:type="dxa"/>
              <w:start w:w="120" w:type="dxa"/>
              <w:bottom w:w="80" w:type="dxa"/>
              <w:end w:w="120" w:type="dxa"/>
            </w:tcMar>
          </w:tcPr>
          <w:p>
            <w:pPr>
              <w:spacing w:after="0"/>
            </w:pPr>
            <w:r>
              <w:rPr>
                <w:rFonts w:ascii="Calibri" w:hAnsi="Calibri"/>
                <w:color w:val="232A34"/>
                <w:sz w:val="19"/>
              </w:rPr>
              <w:t>Alembic</w:t>
            </w:r>
          </w:p>
        </w:tc>
        <w:tc>
          <w:tcPr>
            <w:tcW w:type="dxa" w:w="4860"/>
            <w:vAlign w:val="center"/>
            <w:tcMar>
              <w:top w:w="80" w:type="dxa"/>
              <w:start w:w="120" w:type="dxa"/>
              <w:bottom w:w="80" w:type="dxa"/>
              <w:end w:w="120" w:type="dxa"/>
            </w:tcMar>
          </w:tcPr>
          <w:p>
            <w:pPr>
              <w:spacing w:after="0"/>
            </w:pPr>
            <w:r>
              <w:rPr>
                <w:rFonts w:ascii="Calibri" w:hAnsi="Calibri"/>
                <w:color w:val="232A34"/>
                <w:sz w:val="19"/>
              </w:rPr>
              <w:t>Versioned schema creation and future upgrades</w:t>
            </w:r>
          </w:p>
        </w:tc>
      </w:tr>
      <w:tr>
        <w:trPr>
          <w:cantSplit/>
        </w:trPr>
        <w:tc>
          <w:tcPr>
            <w:tcW w:type="dxa" w:w="1500"/>
            <w:vAlign w:val="center"/>
            <w:tcMar>
              <w:top w:w="80" w:type="dxa"/>
              <w:start w:w="120" w:type="dxa"/>
              <w:bottom w:w="80" w:type="dxa"/>
              <w:end w:w="120" w:type="dxa"/>
            </w:tcMar>
          </w:tcPr>
          <w:p>
            <w:pPr>
              <w:spacing w:after="0"/>
            </w:pPr>
            <w:r>
              <w:rPr>
                <w:rFonts w:ascii="Calibri" w:hAnsi="Calibri"/>
                <w:color w:val="232A34"/>
                <w:sz w:val="19"/>
              </w:rPr>
              <w:t>Deployment</w:t>
            </w:r>
          </w:p>
        </w:tc>
        <w:tc>
          <w:tcPr>
            <w:tcW w:type="dxa" w:w="3000"/>
            <w:vAlign w:val="center"/>
            <w:tcMar>
              <w:top w:w="80" w:type="dxa"/>
              <w:start w:w="120" w:type="dxa"/>
              <w:bottom w:w="80" w:type="dxa"/>
              <w:end w:w="120" w:type="dxa"/>
            </w:tcMar>
          </w:tcPr>
          <w:p>
            <w:pPr>
              <w:spacing w:after="0"/>
            </w:pPr>
            <w:r>
              <w:rPr>
                <w:rFonts w:ascii="Calibri" w:hAnsi="Calibri"/>
                <w:color w:val="232A34"/>
                <w:sz w:val="19"/>
              </w:rPr>
              <w:t>Vercel</w:t>
            </w:r>
          </w:p>
        </w:tc>
        <w:tc>
          <w:tcPr>
            <w:tcW w:type="dxa" w:w="4860"/>
            <w:vAlign w:val="center"/>
            <w:tcMar>
              <w:top w:w="80" w:type="dxa"/>
              <w:start w:w="120" w:type="dxa"/>
              <w:bottom w:w="80" w:type="dxa"/>
              <w:end w:w="120" w:type="dxa"/>
            </w:tcMar>
          </w:tcPr>
          <w:p>
            <w:pPr>
              <w:spacing w:after="0"/>
            </w:pPr>
            <w:r>
              <w:rPr>
                <w:rFonts w:ascii="Calibri" w:hAnsi="Calibri"/>
                <w:color w:val="232A34"/>
                <w:sz w:val="19"/>
              </w:rPr>
              <w:t>Public frontend and serverless FastAPI backend</w:t>
            </w:r>
          </w:p>
        </w:tc>
      </w:tr>
    </w:tbl>
    <w:p/>
    <w:p>
      <w:pPr>
        <w:pStyle w:val="Heading1"/>
      </w:pPr>
      <w:r>
        <w:t>4. Learner-Facing Modules</w:t>
      </w:r>
    </w:p>
    <w:p>
      <w:pPr>
        <w:pStyle w:val="Heading2"/>
      </w:pPr>
      <w:r>
        <w:t>Authentication and profile</w:t>
      </w:r>
    </w:p>
    <w:p>
      <w:r>
        <w:rPr>
          <w:rFonts w:ascii="Calibri" w:hAnsi="Calibri"/>
          <w:color w:val="232A34"/>
          <w:sz w:val="22"/>
        </w:rPr>
        <w:t>Registration captures proficiency, learning goal, optional research consent, and secure credentials. JWT state persists across refreshes.</w:t>
      </w:r>
    </w:p>
    <w:p>
      <w:pPr>
        <w:pStyle w:val="Heading2"/>
      </w:pPr>
      <w:r>
        <w:t>Language selection</w:t>
      </w:r>
    </w:p>
    <w:p>
      <w:r>
        <w:rPr>
          <w:rFonts w:ascii="Calibri" w:hAnsi="Calibri"/>
          <w:color w:val="232A34"/>
          <w:sz w:val="22"/>
        </w:rPr>
        <w:t>Learners select Hindi, German, or Japanese and receive language-specific content, scripts, pronunciation hints, and exercises.</w:t>
      </w:r>
    </w:p>
    <w:p>
      <w:pPr>
        <w:pStyle w:val="Heading2"/>
      </w:pPr>
      <w:r>
        <w:t>Structured lessons</w:t>
      </w:r>
    </w:p>
    <w:p>
      <w:r>
        <w:rPr>
          <w:rFonts w:ascii="Calibri" w:hAnsi="Calibri"/>
          <w:color w:val="232A34"/>
          <w:sz w:val="22"/>
        </w:rPr>
        <w:t>Each language contains three levels with objectives, grammar or usage explanations, native examples, romanization, vocabulary, XP, and enforced prerequisites.</w:t>
      </w:r>
    </w:p>
    <w:p>
      <w:pPr>
        <w:pStyle w:val="Heading2"/>
      </w:pPr>
      <w:r>
        <w:t>Listening support</w:t>
      </w:r>
    </w:p>
    <w:p>
      <w:r>
        <w:rPr>
          <w:rFonts w:ascii="Calibri" w:hAnsi="Calibri"/>
          <w:color w:val="232A34"/>
          <w:sz w:val="22"/>
        </w:rPr>
        <w:t>Lesson examples and pronunciation targets use the browser Speech Synthesis API for model playback.</w:t>
      </w:r>
    </w:p>
    <w:p>
      <w:pPr>
        <w:pStyle w:val="Heading2"/>
      </w:pPr>
      <w:r>
        <w:t>Tutor chat</w:t>
      </w:r>
    </w:p>
    <w:p>
      <w:r>
        <w:rPr>
          <w:rFonts w:ascii="Calibri" w:hAnsi="Calibri"/>
          <w:color w:val="232A34"/>
          <w:sz w:val="22"/>
        </w:rPr>
        <w:t>Learners practice vocabulary, speaking, writing, or creativity with an AI tutor that receives a bounded learner-memory profile.</w:t>
      </w:r>
    </w:p>
    <w:p>
      <w:pPr>
        <w:pStyle w:val="Heading2"/>
      </w:pPr>
      <w:r>
        <w:t>Translation</w:t>
      </w:r>
    </w:p>
    <w:p>
      <w:r>
        <w:rPr>
          <w:rFonts w:ascii="Calibri" w:hAnsi="Calibri"/>
          <w:color w:val="232A34"/>
          <w:sz w:val="22"/>
        </w:rPr>
        <w:t>English phrases are translated into the target language with romanization and cultural or politeness guidance.</w:t>
      </w:r>
    </w:p>
    <w:p>
      <w:pPr>
        <w:pStyle w:val="Heading2"/>
      </w:pPr>
      <w:r>
        <w:t>Pronunciation</w:t>
      </w:r>
    </w:p>
    <w:p>
      <w:r>
        <w:rPr>
          <w:rFonts w:ascii="Calibri" w:hAnsi="Calibri"/>
          <w:color w:val="232A34"/>
          <w:sz w:val="22"/>
        </w:rPr>
        <w:t>The browser records audio; Whisper transcribes it; the backend compares transcript and target phrase and returns a practice score and feedback.</w:t>
      </w:r>
    </w:p>
    <w:p>
      <w:pPr>
        <w:pStyle w:val="Heading2"/>
      </w:pPr>
      <w:r>
        <w:t>Exercises</w:t>
      </w:r>
    </w:p>
    <w:p>
      <w:r>
        <w:rPr>
          <w:rFonts w:ascii="Calibri" w:hAnsi="Calibri"/>
          <w:color w:val="232A34"/>
          <w:sz w:val="22"/>
        </w:rPr>
        <w:t>MCQ and fill-in-the-blank activities store answer, expected answer, correctness, skill, complexity, XP, and measured duration.</w:t>
      </w:r>
    </w:p>
    <w:p>
      <w:pPr>
        <w:pStyle w:val="Heading2"/>
      </w:pPr>
      <w:r>
        <w:t>Analytics and privacy</w:t>
      </w:r>
    </w:p>
    <w:p>
      <w:r>
        <w:rPr>
          <w:rFonts w:ascii="Calibri" w:hAnsi="Calibri"/>
          <w:color w:val="232A34"/>
          <w:sz w:val="22"/>
        </w:rPr>
        <w:t>Learners see personal performance and can record assessments, export their data, change consent, or delete the account.</w:t>
      </w:r>
    </w:p>
    <w:p>
      <w:pPr>
        <w:pStyle w:val="Heading1"/>
      </w:pPr>
      <w:r>
        <w:t>5. AI Integration and Reliability</w:t>
      </w:r>
    </w:p>
    <w:p>
      <w:pPr>
        <w:pStyle w:val="Heading2"/>
      </w:pPr>
      <w:r>
        <w:t>5.1 Hosted Model Boundary</w:t>
      </w:r>
    </w:p>
    <w:p>
      <w:r>
        <w:rPr>
          <w:rFonts w:ascii="Calibri" w:hAnsi="Calibri"/>
          <w:color w:val="232A34"/>
          <w:sz w:val="22"/>
        </w:rPr>
        <w:t>LinguaLeap calls Groq-hosted models through an OpenAI-compatible client. The project does not train, fine-tune, or own the underlying model. Prompts instruct the model to treat learner text as practice content rather than system instructions.</w:t>
      </w:r>
    </w:p>
    <w:p>
      <w:pPr>
        <w:pStyle w:val="Heading2"/>
      </w:pPr>
      <w:r>
        <w:t>5.2 Structured Validation</w:t>
      </w:r>
    </w:p>
    <w:p>
      <w:pPr>
        <w:spacing w:after="80" w:line="290" w:lineRule="auto"/>
        <w:numPr>
          <w:ilvl w:val="0"/>
          <w:numId w:val="11"/>
        </w:numPr>
      </w:pPr>
      <w:r>
        <w:rPr>
          <w:rFonts w:ascii="Calibri" w:hAnsi="Calibri"/>
          <w:color w:val="232A34"/>
          <w:sz w:val="22"/>
        </w:rPr>
        <w:t>Limit and sanitize the learner message.</w:t>
      </w:r>
    </w:p>
    <w:p>
      <w:pPr>
        <w:spacing w:after="80" w:line="290" w:lineRule="auto"/>
        <w:numPr>
          <w:ilvl w:val="0"/>
          <w:numId w:val="11"/>
        </w:numPr>
      </w:pPr>
      <w:r>
        <w:rPr>
          <w:rFonts w:ascii="Calibri" w:hAnsi="Calibri"/>
          <w:color w:val="232A34"/>
          <w:sz w:val="22"/>
        </w:rPr>
        <w:t>Request a JSON response with explicit fields.</w:t>
      </w:r>
    </w:p>
    <w:p>
      <w:pPr>
        <w:spacing w:after="80" w:line="290" w:lineRule="auto"/>
        <w:numPr>
          <w:ilvl w:val="0"/>
          <w:numId w:val="11"/>
        </w:numPr>
      </w:pPr>
      <w:r>
        <w:rPr>
          <w:rFonts w:ascii="Calibri" w:hAnsi="Calibri"/>
          <w:color w:val="232A34"/>
          <w:sz w:val="22"/>
        </w:rPr>
        <w:t>Validate the response against a Pydantic schema.</w:t>
      </w:r>
    </w:p>
    <w:p>
      <w:pPr>
        <w:spacing w:after="80" w:line="290" w:lineRule="auto"/>
        <w:numPr>
          <w:ilvl w:val="0"/>
          <w:numId w:val="11"/>
        </w:numPr>
      </w:pPr>
      <w:r>
        <w:rPr>
          <w:rFonts w:ascii="Calibri" w:hAnsi="Calibri"/>
          <w:color w:val="232A34"/>
          <w:sz w:val="22"/>
        </w:rPr>
        <w:t>Retry once at lower temperature if parsing or provider execution fails.</w:t>
      </w:r>
    </w:p>
    <w:p>
      <w:pPr>
        <w:spacing w:after="80" w:line="290" w:lineRule="auto"/>
        <w:numPr>
          <w:ilvl w:val="0"/>
          <w:numId w:val="11"/>
        </w:numPr>
      </w:pPr>
      <w:r>
        <w:rPr>
          <w:rFonts w:ascii="Calibri" w:hAnsi="Calibri"/>
          <w:color w:val="232A34"/>
          <w:sz w:val="22"/>
        </w:rPr>
        <w:t>Return a bounded fallback lesson when the live provider is unavailable.</w:t>
      </w:r>
    </w:p>
    <w:p>
      <w:pPr>
        <w:pStyle w:val="Heading2"/>
      </w:pPr>
      <w:r>
        <w:t>5.3 Reliability Limitations</w:t>
      </w:r>
    </w:p>
    <w:p>
      <w:pPr>
        <w:pStyle w:val="ListBullet"/>
      </w:pPr>
      <w:r>
        <w:rPr>
          <w:rFonts w:ascii="Calibri" w:hAnsi="Calibri"/>
          <w:color w:val="232A34"/>
          <w:sz w:val="22"/>
        </w:rPr>
        <w:t>Hosted LLM output can still contain linguistic or cultural mistakes.</w:t>
      </w:r>
    </w:p>
    <w:p>
      <w:pPr>
        <w:pStyle w:val="ListBullet"/>
      </w:pPr>
      <w:r>
        <w:rPr>
          <w:rFonts w:ascii="Calibri" w:hAnsi="Calibri"/>
          <w:color w:val="232A34"/>
          <w:sz w:val="22"/>
        </w:rPr>
        <w:t>The current prompt-injection controls reduce common instruction overrides but are not a complete security sandbox.</w:t>
      </w:r>
    </w:p>
    <w:p>
      <w:pPr>
        <w:pStyle w:val="ListBullet"/>
      </w:pPr>
      <w:r>
        <w:rPr>
          <w:rFonts w:ascii="Calibri" w:hAnsi="Calibri"/>
          <w:color w:val="232A34"/>
          <w:sz w:val="22"/>
        </w:rPr>
        <w:t>Pronunciation similarity depends on transcription quality and should not be interpreted as a clinical or phonetic score.</w:t>
      </w:r>
    </w:p>
    <w:p>
      <w:pPr>
        <w:pStyle w:val="ListBullet"/>
      </w:pPr>
      <w:r>
        <w:rPr>
          <w:rFonts w:ascii="Calibri" w:hAnsi="Calibri"/>
          <w:color w:val="232A34"/>
          <w:sz w:val="22"/>
        </w:rPr>
        <w:t>Educator review remains appropriate for high-stakes assessment.</w:t>
      </w:r>
    </w:p>
    <w:p>
      <w:pPr>
        <w:pStyle w:val="Heading1"/>
      </w:pPr>
      <w:r>
        <w:t>6. Data Model and Longitudinal Memory</w:t>
      </w:r>
    </w:p>
    <w:tbl>
      <w:tblPr>
        <w:tblStyle w:val="TableGrid"/>
        <w:tblW w:type="dxa" w:w="9360"/>
        <w:jc w:val="left"/>
        <w:tblLayout w:type="fixed"/>
        <w:tblLook w:firstColumn="1" w:firstRow="1" w:lastColumn="0" w:lastRow="0" w:noHBand="0" w:noVBand="1" w:val="04A0"/>
        <w:tblInd w:w="120" w:type="dxa"/>
      </w:tblPr>
      <w:tblGrid>
        <w:gridCol w:w="1600"/>
        <w:gridCol w:w="4300"/>
        <w:gridCol w:w="3460"/>
      </w:tblGrid>
      <w:tr>
        <w:trPr>
          <w:tblHeader w:val="true"/>
        </w:trPr>
        <w:tc>
          <w:tcPr>
            <w:tcW w:type="dxa" w:w="1600"/>
            <w:shd w:fill="E8EEF5"/>
            <w:vAlign w:val="center"/>
            <w:tcMar>
              <w:top w:w="80" w:type="dxa"/>
              <w:start w:w="120" w:type="dxa"/>
              <w:bottom w:w="80" w:type="dxa"/>
              <w:end w:w="120" w:type="dxa"/>
            </w:tcMar>
          </w:tcPr>
          <w:p>
            <w:pPr>
              <w:spacing w:after="0"/>
            </w:pPr>
            <w:r>
              <w:rPr>
                <w:rFonts w:ascii="Calibri" w:hAnsi="Calibri"/>
                <w:b/>
                <w:color w:val="1F3A5F"/>
                <w:sz w:val="19"/>
              </w:rPr>
              <w:t>Entity</w:t>
            </w:r>
          </w:p>
        </w:tc>
        <w:tc>
          <w:tcPr>
            <w:tcW w:type="dxa" w:w="4300"/>
            <w:shd w:fill="E8EEF5"/>
            <w:vAlign w:val="center"/>
            <w:tcMar>
              <w:top w:w="80" w:type="dxa"/>
              <w:start w:w="120" w:type="dxa"/>
              <w:bottom w:w="80" w:type="dxa"/>
              <w:end w:w="120" w:type="dxa"/>
            </w:tcMar>
          </w:tcPr>
          <w:p>
            <w:pPr>
              <w:spacing w:after="0"/>
            </w:pPr>
            <w:r>
              <w:rPr>
                <w:rFonts w:ascii="Calibri" w:hAnsi="Calibri"/>
                <w:b/>
                <w:color w:val="1F3A5F"/>
                <w:sz w:val="19"/>
              </w:rPr>
              <w:t>Stored information</w:t>
            </w:r>
          </w:p>
        </w:tc>
        <w:tc>
          <w:tcPr>
            <w:tcW w:type="dxa" w:w="3460"/>
            <w:shd w:fill="E8EEF5"/>
            <w:vAlign w:val="center"/>
            <w:tcMar>
              <w:top w:w="80" w:type="dxa"/>
              <w:start w:w="120" w:type="dxa"/>
              <w:bottom w:w="80" w:type="dxa"/>
              <w:end w:w="120" w:type="dxa"/>
            </w:tcMar>
          </w:tcPr>
          <w:p>
            <w:pPr>
              <w:spacing w:after="0"/>
            </w:pPr>
            <w:r>
              <w:rPr>
                <w:rFonts w:ascii="Calibri" w:hAnsi="Calibri"/>
                <w:b/>
                <w:color w:val="1F3A5F"/>
                <w:sz w:val="19"/>
              </w:rPr>
              <w:t>Purpose</w:t>
            </w:r>
          </w:p>
        </w:tc>
      </w:tr>
      <w:tr>
        <w:trPr>
          <w:cantSplit/>
        </w:trPr>
        <w:tc>
          <w:tcPr>
            <w:tcW w:type="dxa" w:w="1600"/>
            <w:vAlign w:val="center"/>
            <w:tcMar>
              <w:top w:w="80" w:type="dxa"/>
              <w:start w:w="120" w:type="dxa"/>
              <w:bottom w:w="80" w:type="dxa"/>
              <w:end w:w="120" w:type="dxa"/>
            </w:tcMar>
          </w:tcPr>
          <w:p>
            <w:pPr>
              <w:spacing w:after="0"/>
            </w:pPr>
            <w:r>
              <w:rPr>
                <w:rFonts w:ascii="Calibri" w:hAnsi="Calibri"/>
                <w:color w:val="232A34"/>
                <w:sz w:val="19"/>
              </w:rPr>
              <w:t>User</w:t>
            </w:r>
          </w:p>
        </w:tc>
        <w:tc>
          <w:tcPr>
            <w:tcW w:type="dxa" w:w="4300"/>
            <w:vAlign w:val="center"/>
            <w:tcMar>
              <w:top w:w="80" w:type="dxa"/>
              <w:start w:w="120" w:type="dxa"/>
              <w:bottom w:w="80" w:type="dxa"/>
              <w:end w:w="120" w:type="dxa"/>
            </w:tcMar>
          </w:tcPr>
          <w:p>
            <w:pPr>
              <w:spacing w:after="0"/>
            </w:pPr>
            <w:r>
              <w:rPr>
                <w:rFonts w:ascii="Calibri" w:hAnsi="Calibri"/>
                <w:color w:val="232A34"/>
                <w:sz w:val="19"/>
              </w:rPr>
              <w:t>Anonymous ID, profile, consent, groups, assessments, XP</w:t>
            </w:r>
          </w:p>
        </w:tc>
        <w:tc>
          <w:tcPr>
            <w:tcW w:type="dxa" w:w="3460"/>
            <w:vAlign w:val="center"/>
            <w:tcMar>
              <w:top w:w="80" w:type="dxa"/>
              <w:start w:w="120" w:type="dxa"/>
              <w:bottom w:w="80" w:type="dxa"/>
              <w:end w:w="120" w:type="dxa"/>
            </w:tcMar>
          </w:tcPr>
          <w:p>
            <w:pPr>
              <w:spacing w:after="0"/>
            </w:pPr>
            <w:r>
              <w:rPr>
                <w:rFonts w:ascii="Calibri" w:hAnsi="Calibri"/>
                <w:color w:val="232A34"/>
                <w:sz w:val="19"/>
              </w:rPr>
              <w:t>Authentication, personalization, ethical research controls</w:t>
            </w:r>
          </w:p>
        </w:tc>
      </w:tr>
      <w:tr>
        <w:trPr>
          <w:cantSplit/>
        </w:trPr>
        <w:tc>
          <w:tcPr>
            <w:tcW w:type="dxa" w:w="1600"/>
            <w:vAlign w:val="center"/>
            <w:tcMar>
              <w:top w:w="80" w:type="dxa"/>
              <w:start w:w="120" w:type="dxa"/>
              <w:bottom w:w="80" w:type="dxa"/>
              <w:end w:w="120" w:type="dxa"/>
            </w:tcMar>
          </w:tcPr>
          <w:p>
            <w:pPr>
              <w:spacing w:after="0"/>
            </w:pPr>
            <w:r>
              <w:rPr>
                <w:rFonts w:ascii="Calibri" w:hAnsi="Calibri"/>
                <w:color w:val="232A34"/>
                <w:sz w:val="19"/>
              </w:rPr>
              <w:t>MemoryProfile</w:t>
            </w:r>
          </w:p>
        </w:tc>
        <w:tc>
          <w:tcPr>
            <w:tcW w:type="dxa" w:w="4300"/>
            <w:vAlign w:val="center"/>
            <w:tcMar>
              <w:top w:w="80" w:type="dxa"/>
              <w:start w:w="120" w:type="dxa"/>
              <w:bottom w:w="80" w:type="dxa"/>
              <w:end w:w="120" w:type="dxa"/>
            </w:tcMar>
          </w:tcPr>
          <w:p>
            <w:pPr>
              <w:spacing w:after="0"/>
            </w:pPr>
            <w:r>
              <w:rPr>
                <w:rFonts w:ascii="Calibri" w:hAnsi="Calibri"/>
                <w:color w:val="232A34"/>
                <w:sz w:val="19"/>
              </w:rPr>
              <w:t>Notes, vocabulary focus, grammar focus</w:t>
            </w:r>
          </w:p>
        </w:tc>
        <w:tc>
          <w:tcPr>
            <w:tcW w:type="dxa" w:w="3460"/>
            <w:vAlign w:val="center"/>
            <w:tcMar>
              <w:top w:w="80" w:type="dxa"/>
              <w:start w:w="120" w:type="dxa"/>
              <w:bottom w:w="80" w:type="dxa"/>
              <w:end w:w="120" w:type="dxa"/>
            </w:tcMar>
          </w:tcPr>
          <w:p>
            <w:pPr>
              <w:spacing w:after="0"/>
            </w:pPr>
            <w:r>
              <w:rPr>
                <w:rFonts w:ascii="Calibri" w:hAnsi="Calibri"/>
                <w:color w:val="232A34"/>
                <w:sz w:val="19"/>
              </w:rPr>
              <w:t>Bounded context for tutor responses</w:t>
            </w:r>
          </w:p>
        </w:tc>
      </w:tr>
      <w:tr>
        <w:trPr>
          <w:cantSplit/>
        </w:trPr>
        <w:tc>
          <w:tcPr>
            <w:tcW w:type="dxa" w:w="1600"/>
            <w:vAlign w:val="center"/>
            <w:tcMar>
              <w:top w:w="80" w:type="dxa"/>
              <w:start w:w="120" w:type="dxa"/>
              <w:bottom w:w="80" w:type="dxa"/>
              <w:end w:w="120" w:type="dxa"/>
            </w:tcMar>
          </w:tcPr>
          <w:p>
            <w:pPr>
              <w:spacing w:after="0"/>
            </w:pPr>
            <w:r>
              <w:rPr>
                <w:rFonts w:ascii="Calibri" w:hAnsi="Calibri"/>
                <w:color w:val="232A34"/>
                <w:sz w:val="19"/>
              </w:rPr>
              <w:t>LessonProgress</w:t>
            </w:r>
          </w:p>
        </w:tc>
        <w:tc>
          <w:tcPr>
            <w:tcW w:type="dxa" w:w="4300"/>
            <w:vAlign w:val="center"/>
            <w:tcMar>
              <w:top w:w="80" w:type="dxa"/>
              <w:start w:w="120" w:type="dxa"/>
              <w:bottom w:w="80" w:type="dxa"/>
              <w:end w:w="120" w:type="dxa"/>
            </w:tcMar>
          </w:tcPr>
          <w:p>
            <w:pPr>
              <w:spacing w:after="0"/>
            </w:pPr>
            <w:r>
              <w:rPr>
                <w:rFonts w:ascii="Calibri" w:hAnsi="Calibri"/>
                <w:color w:val="232A34"/>
                <w:sz w:val="19"/>
              </w:rPr>
              <w:t>Lesson, language, completion, score, date</w:t>
            </w:r>
          </w:p>
        </w:tc>
        <w:tc>
          <w:tcPr>
            <w:tcW w:type="dxa" w:w="3460"/>
            <w:vAlign w:val="center"/>
            <w:tcMar>
              <w:top w:w="80" w:type="dxa"/>
              <w:start w:w="120" w:type="dxa"/>
              <w:bottom w:w="80" w:type="dxa"/>
              <w:end w:w="120" w:type="dxa"/>
            </w:tcMar>
          </w:tcPr>
          <w:p>
            <w:pPr>
              <w:spacing w:after="0"/>
            </w:pPr>
            <w:r>
              <w:rPr>
                <w:rFonts w:ascii="Calibri" w:hAnsi="Calibri"/>
                <w:color w:val="232A34"/>
                <w:sz w:val="19"/>
              </w:rPr>
              <w:t>Prerequisites and progress tracking</w:t>
            </w:r>
          </w:p>
        </w:tc>
      </w:tr>
      <w:tr>
        <w:trPr>
          <w:cantSplit/>
        </w:trPr>
        <w:tc>
          <w:tcPr>
            <w:tcW w:type="dxa" w:w="1600"/>
            <w:vAlign w:val="center"/>
            <w:tcMar>
              <w:top w:w="80" w:type="dxa"/>
              <w:start w:w="120" w:type="dxa"/>
              <w:bottom w:w="80" w:type="dxa"/>
              <w:end w:w="120" w:type="dxa"/>
            </w:tcMar>
          </w:tcPr>
          <w:p>
            <w:pPr>
              <w:spacing w:after="0"/>
            </w:pPr>
            <w:r>
              <w:rPr>
                <w:rFonts w:ascii="Calibri" w:hAnsi="Calibri"/>
                <w:color w:val="232A34"/>
                <w:sz w:val="19"/>
              </w:rPr>
              <w:t>Interaction</w:t>
            </w:r>
          </w:p>
        </w:tc>
        <w:tc>
          <w:tcPr>
            <w:tcW w:type="dxa" w:w="4300"/>
            <w:vAlign w:val="center"/>
            <w:tcMar>
              <w:top w:w="80" w:type="dxa"/>
              <w:start w:w="120" w:type="dxa"/>
              <w:bottom w:w="80" w:type="dxa"/>
              <w:end w:w="120" w:type="dxa"/>
            </w:tcMar>
          </w:tcPr>
          <w:p>
            <w:pPr>
              <w:spacing w:after="0"/>
            </w:pPr>
            <w:r>
              <w:rPr>
                <w:rFonts w:ascii="Calibri" w:hAnsi="Calibri"/>
                <w:color w:val="232A34"/>
                <w:sz w:val="19"/>
              </w:rPr>
              <w:t>Prompt, response, skill, moderators, score, duration</w:t>
            </w:r>
          </w:p>
        </w:tc>
        <w:tc>
          <w:tcPr>
            <w:tcW w:type="dxa" w:w="3460"/>
            <w:vAlign w:val="center"/>
            <w:tcMar>
              <w:top w:w="80" w:type="dxa"/>
              <w:start w:w="120" w:type="dxa"/>
              <w:bottom w:w="80" w:type="dxa"/>
              <w:end w:w="120" w:type="dxa"/>
            </w:tcMar>
          </w:tcPr>
          <w:p>
            <w:pPr>
              <w:spacing w:after="0"/>
            </w:pPr>
            <w:r>
              <w:rPr>
                <w:rFonts w:ascii="Calibri" w:hAnsi="Calibri"/>
                <w:color w:val="232A34"/>
                <w:sz w:val="19"/>
              </w:rPr>
              <w:t>Personal analytics and consented research evidence</w:t>
            </w:r>
          </w:p>
        </w:tc>
      </w:tr>
      <w:tr>
        <w:trPr>
          <w:cantSplit/>
        </w:trPr>
        <w:tc>
          <w:tcPr>
            <w:tcW w:type="dxa" w:w="1600"/>
            <w:vAlign w:val="center"/>
            <w:tcMar>
              <w:top w:w="80" w:type="dxa"/>
              <w:start w:w="120" w:type="dxa"/>
              <w:bottom w:w="80" w:type="dxa"/>
              <w:end w:w="120" w:type="dxa"/>
            </w:tcMar>
          </w:tcPr>
          <w:p>
            <w:pPr>
              <w:spacing w:after="0"/>
            </w:pPr>
            <w:r>
              <w:rPr>
                <w:rFonts w:ascii="Calibri" w:hAnsi="Calibri"/>
                <w:color w:val="232A34"/>
                <w:sz w:val="19"/>
              </w:rPr>
              <w:t>ReviewItem</w:t>
            </w:r>
          </w:p>
        </w:tc>
        <w:tc>
          <w:tcPr>
            <w:tcW w:type="dxa" w:w="4300"/>
            <w:vAlign w:val="center"/>
            <w:tcMar>
              <w:top w:w="80" w:type="dxa"/>
              <w:start w:w="120" w:type="dxa"/>
              <w:bottom w:w="80" w:type="dxa"/>
              <w:end w:w="120" w:type="dxa"/>
            </w:tcMar>
          </w:tcPr>
          <w:p>
            <w:pPr>
              <w:spacing w:after="0"/>
            </w:pPr>
            <w:r>
              <w:rPr>
                <w:rFonts w:ascii="Calibri" w:hAnsi="Calibri"/>
                <w:color w:val="232A34"/>
                <w:sz w:val="19"/>
              </w:rPr>
              <w:t>Term, quality, difficulty, interval, next review</w:t>
            </w:r>
          </w:p>
        </w:tc>
        <w:tc>
          <w:tcPr>
            <w:tcW w:type="dxa" w:w="3460"/>
            <w:vAlign w:val="center"/>
            <w:tcMar>
              <w:top w:w="80" w:type="dxa"/>
              <w:start w:w="120" w:type="dxa"/>
              <w:bottom w:w="80" w:type="dxa"/>
              <w:end w:w="120" w:type="dxa"/>
            </w:tcMar>
          </w:tcPr>
          <w:p>
            <w:pPr>
              <w:spacing w:after="0"/>
            </w:pPr>
            <w:r>
              <w:rPr>
                <w:rFonts w:ascii="Calibri" w:hAnsi="Calibri"/>
                <w:color w:val="232A34"/>
                <w:sz w:val="19"/>
              </w:rPr>
              <w:t>Spaced repetition scheduling</w:t>
            </w:r>
          </w:p>
        </w:tc>
      </w:tr>
    </w:tbl>
    <w:p/>
    <w:p>
      <w:pPr>
        <w:pStyle w:val="Heading2"/>
      </w:pPr>
      <w:r>
        <w:t>6.1 Moderator Capture</w:t>
      </w:r>
    </w:p>
    <w:p>
      <w:r>
        <w:rPr>
          <w:rFonts w:ascii="Calibri" w:hAnsi="Calibri"/>
          <w:color w:val="232A34"/>
          <w:sz w:val="22"/>
        </w:rPr>
        <w:t>Every learner-generated interaction records a proficiency snapshot, target language, skill, task complexity, modality, feedback type, experiment group, delivery group, correctness or score, and measured engagement duration. Optional pre/post-test values are copied into relevant assessment records.</w:t>
      </w:r>
    </w:p>
    <w:p>
      <w:pPr>
        <w:pStyle w:val="Heading1"/>
      </w:pPr>
      <w:r>
        <w:t>7. Spaced Repetition</w:t>
      </w:r>
    </w:p>
    <w:p>
      <w:r>
        <w:rPr>
          <w:rFonts w:ascii="Calibri" w:hAnsi="Calibri"/>
          <w:color w:val="232A34"/>
          <w:sz w:val="22"/>
        </w:rPr>
        <w:t>Vocabulary introduced by lessons, tutor updates, and exercises is stored as a review item. The current scheduler implements a simplified SM-2 process. Learners rate recall quality from 0 to 5. Ratings below 3 reset the repetition count and schedule a near-term retry; successful recall increases the interval using the stored easiness factor.</w:t>
      </w:r>
    </w:p>
    <w:p>
      <w:pPr>
        <w:pStyle w:val="Heading2"/>
      </w:pPr>
      <w:r>
        <w:t>7.1 Stored Review State</w:t>
      </w:r>
    </w:p>
    <w:p>
      <w:pPr>
        <w:pStyle w:val="ListBullet"/>
      </w:pPr>
      <w:r>
        <w:rPr>
          <w:rFonts w:ascii="Calibri" w:hAnsi="Calibri"/>
          <w:color w:val="232A34"/>
          <w:sz w:val="22"/>
        </w:rPr>
        <w:t>Term and translation</w:t>
      </w:r>
    </w:p>
    <w:p>
      <w:pPr>
        <w:pStyle w:val="ListBullet"/>
      </w:pPr>
      <w:r>
        <w:rPr>
          <w:rFonts w:ascii="Calibri" w:hAnsi="Calibri"/>
          <w:color w:val="232A34"/>
          <w:sz w:val="22"/>
        </w:rPr>
        <w:t>Language</w:t>
      </w:r>
    </w:p>
    <w:p>
      <w:pPr>
        <w:pStyle w:val="ListBullet"/>
      </w:pPr>
      <w:r>
        <w:rPr>
          <w:rFonts w:ascii="Calibri" w:hAnsi="Calibri"/>
          <w:color w:val="232A34"/>
          <w:sz w:val="22"/>
        </w:rPr>
        <w:t>Recall quality</w:t>
      </w:r>
    </w:p>
    <w:p>
      <w:pPr>
        <w:pStyle w:val="ListBullet"/>
      </w:pPr>
      <w:r>
        <w:rPr>
          <w:rFonts w:ascii="Calibri" w:hAnsi="Calibri"/>
          <w:color w:val="232A34"/>
          <w:sz w:val="22"/>
        </w:rPr>
        <w:t>Difficulty or easiness factor</w:t>
      </w:r>
    </w:p>
    <w:p>
      <w:pPr>
        <w:pStyle w:val="ListBullet"/>
      </w:pPr>
      <w:r>
        <w:rPr>
          <w:rFonts w:ascii="Calibri" w:hAnsi="Calibri"/>
          <w:color w:val="232A34"/>
          <w:sz w:val="22"/>
        </w:rPr>
        <w:t>Repetition count</w:t>
      </w:r>
    </w:p>
    <w:p>
      <w:pPr>
        <w:pStyle w:val="ListBullet"/>
      </w:pPr>
      <w:r>
        <w:rPr>
          <w:rFonts w:ascii="Calibri" w:hAnsi="Calibri"/>
          <w:color w:val="232A34"/>
          <w:sz w:val="22"/>
        </w:rPr>
        <w:t>Current interval in days</w:t>
      </w:r>
    </w:p>
    <w:p>
      <w:pPr>
        <w:pStyle w:val="ListBullet"/>
      </w:pPr>
      <w:r>
        <w:rPr>
          <w:rFonts w:ascii="Calibri" w:hAnsi="Calibri"/>
          <w:color w:val="232A34"/>
          <w:sz w:val="22"/>
        </w:rPr>
        <w:t>Last review timestamp</w:t>
      </w:r>
    </w:p>
    <w:p>
      <w:pPr>
        <w:pStyle w:val="ListBullet"/>
      </w:pPr>
      <w:r>
        <w:rPr>
          <w:rFonts w:ascii="Calibri" w:hAnsi="Calibri"/>
          <w:color w:val="232A34"/>
          <w:sz w:val="22"/>
        </w:rPr>
        <w:t>Next review timestamp</w:t>
      </w:r>
    </w:p>
    <w:p>
      <w:pPr>
        <w:spacing w:before="100" w:after="200" w:line="276" w:lineRule="auto"/>
        <w:ind w:left="115" w:right="115"/>
        <w:shd w:fill="F4F6F9"/>
        <w:pBdr>
          <w:top w:val="single" w:sz="6" w:space="5" w:color="A7ADB5"/>
          <w:left w:val="single" w:sz="6" w:space="5" w:color="A7ADB5"/>
          <w:bottom w:val="single" w:sz="6" w:space="5" w:color="A7ADB5"/>
          <w:right w:val="single" w:sz="6" w:space="5" w:color="A7ADB5"/>
        </w:pBdr>
      </w:pPr>
      <w:r>
        <w:rPr>
          <w:rFonts w:ascii="Calibri" w:hAnsi="Calibri"/>
          <w:b/>
          <w:color w:val="7A5A00"/>
          <w:sz w:val="18"/>
        </w:rPr>
        <w:t>INTERPRETATION</w:t>
        <w:br/>
      </w:r>
      <w:r>
        <w:rPr>
          <w:rFonts w:ascii="Calibri" w:hAnsi="Calibri"/>
          <w:color w:val="232A34"/>
          <w:sz w:val="21"/>
        </w:rPr>
        <w:t>This is an implemented scheduling algorithm, not evidence that retention improved. Retention claims require longitudinal learner data and an appropriate study design.</w:t>
      </w:r>
    </w:p>
    <w:p>
      <w:pPr>
        <w:pStyle w:val="Heading1"/>
      </w:pPr>
      <w:r>
        <w:t>8. Moderator-Aware Experiment Design</w:t>
      </w:r>
    </w:p>
    <w:p>
      <w:r>
        <w:drawing>
          <wp:inline xmlns:a="http://schemas.openxmlformats.org/drawingml/2006/main" xmlns:pic="http://schemas.openxmlformats.org/drawingml/2006/picture">
            <wp:extent cx="5897880" cy="2654046"/>
            <wp:docPr id="2" name="Picture 2" descr="Three-column evaluation diagram showing consent-based group assignment, recorded moderator variables, and observed or simulated evidence." title="LinguaLeap consent-based evaluation design"/>
            <wp:cNvGraphicFramePr>
              <a:graphicFrameLocks noChangeAspect="1"/>
            </wp:cNvGraphicFramePr>
            <a:graphic>
              <a:graphicData uri="http://schemas.openxmlformats.org/drawingml/2006/picture">
                <pic:pic>
                  <pic:nvPicPr>
                    <pic:cNvPr id="0" name="evaluation.png"/>
                    <pic:cNvPicPr/>
                  </pic:nvPicPr>
                  <pic:blipFill>
                    <a:blip r:embed="rId12"/>
                    <a:stretch>
                      <a:fillRect/>
                    </a:stretch>
                  </pic:blipFill>
                  <pic:spPr>
                    <a:xfrm>
                      <a:off x="0" y="0"/>
                      <a:ext cx="5897880" cy="2654046"/>
                    </a:xfrm>
                    <a:prstGeom prst="rect"/>
                  </pic:spPr>
                </pic:pic>
              </a:graphicData>
            </a:graphic>
          </wp:inline>
        </w:drawing>
      </w:r>
    </w:p>
    <w:p>
      <w:pPr>
        <w:jc w:val="center"/>
      </w:pPr>
      <w:r>
        <w:rPr>
          <w:i/>
          <w:sz w:val="18"/>
        </w:rPr>
        <w:t>Figure 2. Consent-based evaluation design.</w:t>
      </w:r>
    </w:p>
    <w:p>
      <w:pPr>
        <w:pStyle w:val="Heading2"/>
      </w:pPr>
      <w:r>
        <w:t>8.1 Assignment</w:t>
      </w:r>
    </w:p>
    <w:p>
      <w:r>
        <w:rPr>
          <w:rFonts w:ascii="Calibri" w:hAnsi="Calibri"/>
          <w:color w:val="232A34"/>
          <w:sz w:val="22"/>
        </w:rPr>
        <w:t>Only learners who provide research consent are assigned. A server-keyed HMAC of the normalized email produces stable assignment without exposing the bucket rule to the client.</w:t>
      </w:r>
    </w:p>
    <w:tbl>
      <w:tblPr>
        <w:tblStyle w:val="TableGrid"/>
        <w:tblW w:type="dxa" w:w="9360"/>
        <w:jc w:val="left"/>
        <w:tblLayout w:type="fixed"/>
        <w:tblLook w:firstColumn="1" w:firstRow="1" w:lastColumn="0" w:lastRow="0" w:noHBand="0" w:noVBand="1" w:val="04A0"/>
        <w:tblInd w:w="120" w:type="dxa"/>
      </w:tblPr>
      <w:tblGrid>
        <w:gridCol w:w="1500"/>
        <w:gridCol w:w="1800"/>
        <w:gridCol w:w="2100"/>
        <w:gridCol w:w="3960"/>
      </w:tblGrid>
      <w:tr>
        <w:trPr>
          <w:tblHeader w:val="true"/>
        </w:trPr>
        <w:tc>
          <w:tcPr>
            <w:tcW w:type="dxa" w:w="1500"/>
            <w:shd w:fill="E8EEF5"/>
            <w:vAlign w:val="center"/>
            <w:tcMar>
              <w:top w:w="80" w:type="dxa"/>
              <w:start w:w="120" w:type="dxa"/>
              <w:bottom w:w="80" w:type="dxa"/>
              <w:end w:w="120" w:type="dxa"/>
            </w:tcMar>
          </w:tcPr>
          <w:p>
            <w:pPr>
              <w:spacing w:after="0"/>
            </w:pPr>
            <w:r>
              <w:rPr>
                <w:rFonts w:ascii="Calibri" w:hAnsi="Calibri"/>
                <w:b/>
                <w:color w:val="1F3A5F"/>
                <w:sz w:val="19"/>
              </w:rPr>
              <w:t>Factor</w:t>
            </w:r>
          </w:p>
        </w:tc>
        <w:tc>
          <w:tcPr>
            <w:tcW w:type="dxa" w:w="1800"/>
            <w:shd w:fill="E8EEF5"/>
            <w:vAlign w:val="center"/>
            <w:tcMar>
              <w:top w:w="80" w:type="dxa"/>
              <w:start w:w="120" w:type="dxa"/>
              <w:bottom w:w="80" w:type="dxa"/>
              <w:end w:w="120" w:type="dxa"/>
            </w:tcMar>
          </w:tcPr>
          <w:p>
            <w:pPr>
              <w:spacing w:after="0"/>
            </w:pPr>
            <w:r>
              <w:rPr>
                <w:rFonts w:ascii="Calibri" w:hAnsi="Calibri"/>
                <w:b/>
                <w:color w:val="1F3A5F"/>
                <w:sz w:val="19"/>
              </w:rPr>
              <w:t>Group A</w:t>
            </w:r>
          </w:p>
        </w:tc>
        <w:tc>
          <w:tcPr>
            <w:tcW w:type="dxa" w:w="2100"/>
            <w:shd w:fill="E8EEF5"/>
            <w:vAlign w:val="center"/>
            <w:tcMar>
              <w:top w:w="80" w:type="dxa"/>
              <w:start w:w="120" w:type="dxa"/>
              <w:bottom w:w="80" w:type="dxa"/>
              <w:end w:w="120" w:type="dxa"/>
            </w:tcMar>
          </w:tcPr>
          <w:p>
            <w:pPr>
              <w:spacing w:after="0"/>
            </w:pPr>
            <w:r>
              <w:rPr>
                <w:rFonts w:ascii="Calibri" w:hAnsi="Calibri"/>
                <w:b/>
                <w:color w:val="1F3A5F"/>
                <w:sz w:val="19"/>
              </w:rPr>
              <w:t>Group B</w:t>
            </w:r>
          </w:p>
        </w:tc>
        <w:tc>
          <w:tcPr>
            <w:tcW w:type="dxa" w:w="3960"/>
            <w:shd w:fill="E8EEF5"/>
            <w:vAlign w:val="center"/>
            <w:tcMar>
              <w:top w:w="80" w:type="dxa"/>
              <w:start w:w="120" w:type="dxa"/>
              <w:bottom w:w="80" w:type="dxa"/>
              <w:end w:w="120" w:type="dxa"/>
            </w:tcMar>
          </w:tcPr>
          <w:p>
            <w:pPr>
              <w:spacing w:after="0"/>
            </w:pPr>
            <w:r>
              <w:rPr>
                <w:rFonts w:ascii="Calibri" w:hAnsi="Calibri"/>
                <w:b/>
                <w:color w:val="1F3A5F"/>
                <w:sz w:val="19"/>
              </w:rPr>
              <w:t>Implemented behavior</w:t>
            </w:r>
          </w:p>
        </w:tc>
      </w:tr>
      <w:tr>
        <w:trPr>
          <w:cantSplit/>
        </w:trPr>
        <w:tc>
          <w:tcPr>
            <w:tcW w:type="dxa" w:w="1500"/>
            <w:vAlign w:val="center"/>
            <w:tcMar>
              <w:top w:w="80" w:type="dxa"/>
              <w:start w:w="120" w:type="dxa"/>
              <w:bottom w:w="80" w:type="dxa"/>
              <w:end w:w="120" w:type="dxa"/>
            </w:tcMar>
          </w:tcPr>
          <w:p>
            <w:pPr>
              <w:spacing w:after="0"/>
            </w:pPr>
            <w:r>
              <w:rPr>
                <w:rFonts w:ascii="Calibri" w:hAnsi="Calibri"/>
                <w:color w:val="232A34"/>
                <w:sz w:val="19"/>
              </w:rPr>
              <w:t>Tutor strategy</w:t>
            </w:r>
          </w:p>
        </w:tc>
        <w:tc>
          <w:tcPr>
            <w:tcW w:type="dxa" w:w="1800"/>
            <w:vAlign w:val="center"/>
            <w:tcMar>
              <w:top w:w="80" w:type="dxa"/>
              <w:start w:w="120" w:type="dxa"/>
              <w:bottom w:w="80" w:type="dxa"/>
              <w:end w:w="120" w:type="dxa"/>
            </w:tcMar>
          </w:tcPr>
          <w:p>
            <w:pPr>
              <w:spacing w:after="0"/>
            </w:pPr>
            <w:r>
              <w:rPr>
                <w:rFonts w:ascii="Calibri" w:hAnsi="Calibri"/>
                <w:color w:val="232A34"/>
                <w:sz w:val="19"/>
              </w:rPr>
              <w:t>LLM tutor</w:t>
            </w:r>
          </w:p>
        </w:tc>
        <w:tc>
          <w:tcPr>
            <w:tcW w:type="dxa" w:w="2100"/>
            <w:vAlign w:val="center"/>
            <w:tcMar>
              <w:top w:w="80" w:type="dxa"/>
              <w:start w:w="120" w:type="dxa"/>
              <w:bottom w:w="80" w:type="dxa"/>
              <w:end w:w="120" w:type="dxa"/>
            </w:tcMar>
          </w:tcPr>
          <w:p>
            <w:pPr>
              <w:spacing w:after="0"/>
            </w:pPr>
            <w:r>
              <w:rPr>
                <w:rFonts w:ascii="Calibri" w:hAnsi="Calibri"/>
                <w:color w:val="232A34"/>
                <w:sz w:val="19"/>
              </w:rPr>
              <w:t>Structured non-LLM baseline</w:t>
            </w:r>
          </w:p>
        </w:tc>
        <w:tc>
          <w:tcPr>
            <w:tcW w:type="dxa" w:w="3960"/>
            <w:vAlign w:val="center"/>
            <w:tcMar>
              <w:top w:w="80" w:type="dxa"/>
              <w:start w:w="120" w:type="dxa"/>
              <w:bottom w:w="80" w:type="dxa"/>
              <w:end w:w="120" w:type="dxa"/>
            </w:tcMar>
          </w:tcPr>
          <w:p>
            <w:pPr>
              <w:spacing w:after="0"/>
            </w:pPr>
            <w:r>
              <w:rPr>
                <w:rFonts w:ascii="Calibri" w:hAnsi="Calibri"/>
                <w:color w:val="232A34"/>
                <w:sz w:val="19"/>
              </w:rPr>
              <w:t>Tutor endpoint selects either Groq response or deterministic structured practice</w:t>
            </w:r>
          </w:p>
        </w:tc>
      </w:tr>
      <w:tr>
        <w:trPr>
          <w:cantSplit/>
        </w:trPr>
        <w:tc>
          <w:tcPr>
            <w:tcW w:type="dxa" w:w="1500"/>
            <w:vAlign w:val="center"/>
            <w:tcMar>
              <w:top w:w="80" w:type="dxa"/>
              <w:start w:w="120" w:type="dxa"/>
              <w:bottom w:w="80" w:type="dxa"/>
              <w:end w:w="120" w:type="dxa"/>
            </w:tcMar>
          </w:tcPr>
          <w:p>
            <w:pPr>
              <w:spacing w:after="0"/>
            </w:pPr>
            <w:r>
              <w:rPr>
                <w:rFonts w:ascii="Calibri" w:hAnsi="Calibri"/>
                <w:color w:val="232A34"/>
                <w:sz w:val="19"/>
              </w:rPr>
              <w:t>Delivery</w:t>
            </w:r>
          </w:p>
        </w:tc>
        <w:tc>
          <w:tcPr>
            <w:tcW w:type="dxa" w:w="1800"/>
            <w:vAlign w:val="center"/>
            <w:tcMar>
              <w:top w:w="80" w:type="dxa"/>
              <w:start w:w="120" w:type="dxa"/>
              <w:bottom w:w="80" w:type="dxa"/>
              <w:end w:w="120" w:type="dxa"/>
            </w:tcMar>
          </w:tcPr>
          <w:p>
            <w:pPr>
              <w:spacing w:after="0"/>
            </w:pPr>
            <w:r>
              <w:rPr>
                <w:rFonts w:ascii="Calibri" w:hAnsi="Calibri"/>
                <w:color w:val="232A34"/>
                <w:sz w:val="19"/>
              </w:rPr>
              <w:t>Text-only</w:t>
            </w:r>
          </w:p>
        </w:tc>
        <w:tc>
          <w:tcPr>
            <w:tcW w:type="dxa" w:w="2100"/>
            <w:vAlign w:val="center"/>
            <w:tcMar>
              <w:top w:w="80" w:type="dxa"/>
              <w:start w:w="120" w:type="dxa"/>
              <w:bottom w:w="80" w:type="dxa"/>
              <w:end w:w="120" w:type="dxa"/>
            </w:tcMar>
          </w:tcPr>
          <w:p>
            <w:pPr>
              <w:spacing w:after="0"/>
            </w:pPr>
            <w:r>
              <w:rPr>
                <w:rFonts w:ascii="Calibri" w:hAnsi="Calibri"/>
                <w:color w:val="232A34"/>
                <w:sz w:val="19"/>
              </w:rPr>
              <w:t>Multimodal</w:t>
            </w:r>
          </w:p>
        </w:tc>
        <w:tc>
          <w:tcPr>
            <w:tcW w:type="dxa" w:w="3960"/>
            <w:vAlign w:val="center"/>
            <w:tcMar>
              <w:top w:w="80" w:type="dxa"/>
              <w:start w:w="120" w:type="dxa"/>
              <w:bottom w:w="80" w:type="dxa"/>
              <w:end w:w="120" w:type="dxa"/>
            </w:tcMar>
          </w:tcPr>
          <w:p>
            <w:pPr>
              <w:spacing w:after="0"/>
            </w:pPr>
            <w:r>
              <w:rPr>
                <w:rFonts w:ascii="Calibri" w:hAnsi="Calibri"/>
                <w:color w:val="232A34"/>
                <w:sz w:val="19"/>
              </w:rPr>
              <w:t>Text-only forces text modality; multimodal permits audio interactions</w:t>
            </w:r>
          </w:p>
        </w:tc>
      </w:tr>
    </w:tbl>
    <w:p/>
    <w:p>
      <w:pPr>
        <w:pStyle w:val="Heading2"/>
      </w:pPr>
      <w:r>
        <w:t>8.2 Validity Conditions</w:t>
      </w:r>
    </w:p>
    <w:p>
      <w:pPr>
        <w:pStyle w:val="ListBullet"/>
      </w:pPr>
      <w:r>
        <w:rPr>
          <w:rFonts w:ascii="Calibri" w:hAnsi="Calibri"/>
          <w:color w:val="232A34"/>
          <w:sz w:val="22"/>
        </w:rPr>
        <w:t>Use the same pre/post assessment instrument for each participant.</w:t>
      </w:r>
    </w:p>
    <w:p>
      <w:pPr>
        <w:pStyle w:val="ListBullet"/>
      </w:pPr>
      <w:r>
        <w:rPr>
          <w:rFonts w:ascii="Calibri" w:hAnsi="Calibri"/>
          <w:color w:val="232A34"/>
          <w:sz w:val="22"/>
        </w:rPr>
        <w:t>Define recruitment, sample size, duration, and exclusion criteria before analysis.</w:t>
      </w:r>
    </w:p>
    <w:p>
      <w:pPr>
        <w:pStyle w:val="ListBullet"/>
      </w:pPr>
      <w:r>
        <w:rPr>
          <w:rFonts w:ascii="Calibri" w:hAnsi="Calibri"/>
          <w:color w:val="232A34"/>
          <w:sz w:val="22"/>
        </w:rPr>
        <w:t>Report group sample sizes and uncertainty, not only mean percentages.</w:t>
      </w:r>
    </w:p>
    <w:p>
      <w:pPr>
        <w:pStyle w:val="ListBullet"/>
      </w:pPr>
      <w:r>
        <w:rPr>
          <w:rFonts w:ascii="Calibri" w:hAnsi="Calibri"/>
          <w:color w:val="232A34"/>
          <w:sz w:val="22"/>
        </w:rPr>
        <w:t>Exclude simulated records from observed claims.</w:t>
      </w:r>
    </w:p>
    <w:p>
      <w:pPr>
        <w:pStyle w:val="ListBullet"/>
      </w:pPr>
      <w:r>
        <w:rPr>
          <w:rFonts w:ascii="Calibri" w:hAnsi="Calibri"/>
          <w:color w:val="232A34"/>
          <w:sz w:val="22"/>
        </w:rPr>
        <w:t>Avoid causal language until assignment integrity and statistical assumptions are reviewed.</w:t>
      </w:r>
    </w:p>
    <w:p>
      <w:pPr>
        <w:pStyle w:val="Heading1"/>
      </w:pPr>
      <w:r>
        <w:t>9. Analytics Methodology and Evidence Rules</w:t>
      </w:r>
    </w:p>
    <w:p>
      <w:pPr>
        <w:pStyle w:val="Heading2"/>
      </w:pPr>
      <w:r>
        <w:t>9.1 Learner Analytics</w:t>
      </w:r>
    </w:p>
    <w:p>
      <w:r>
        <w:rPr>
          <w:rFonts w:ascii="Calibri" w:hAnsi="Calibri"/>
          <w:color w:val="232A34"/>
          <w:sz w:val="22"/>
        </w:rPr>
        <w:t>The learner dashboard calculates interaction count, mean score, observed correctness, average measured engagement, completed lessons, due reviews, skill-level means, and an observed recall curve from stored exercise and review outcomes. Cross-group comparisons are not shown as personal conclusions.</w:t>
      </w:r>
    </w:p>
    <w:p>
      <w:pPr>
        <w:pStyle w:val="Heading2"/>
      </w:pPr>
      <w:r>
        <w:t>9.2 Research Analytics</w:t>
      </w:r>
    </w:p>
    <w:p>
      <w:r>
        <w:rPr>
          <w:rFonts w:ascii="Calibri" w:hAnsi="Calibri"/>
          <w:color w:val="232A34"/>
          <w:sz w:val="22"/>
        </w:rPr>
        <w:t>The role-protected research dashboard computes group counts, mean score, correctness rate, mean engagement duration, and available learning gain from stored consented interactions. Primary comparison rows exclude simulated records. A separate simulated section demonstrates the interface and is explicitly labeled as non-evidence.</w:t>
      </w:r>
    </w:p>
    <w:p>
      <w:pPr>
        <w:pStyle w:val="Heading2"/>
      </w:pPr>
      <w:r>
        <w:t>9.3 Metrics That Are Not Claimed</w:t>
      </w:r>
    </w:p>
    <w:p>
      <w:pPr>
        <w:pStyle w:val="ListBullet"/>
      </w:pPr>
      <w:r>
        <w:rPr>
          <w:rFonts w:ascii="Calibri" w:hAnsi="Calibri"/>
          <w:color w:val="232A34"/>
          <w:sz w:val="22"/>
        </w:rPr>
        <w:t>No independently validated model accuracy.</w:t>
      </w:r>
    </w:p>
    <w:p>
      <w:pPr>
        <w:pStyle w:val="ListBullet"/>
      </w:pPr>
      <w:r>
        <w:rPr>
          <w:rFonts w:ascii="Calibri" w:hAnsi="Calibri"/>
          <w:color w:val="232A34"/>
          <w:sz w:val="22"/>
        </w:rPr>
        <w:t>No statistical significance or confidence intervals from an adequately powered study.</w:t>
      </w:r>
    </w:p>
    <w:p>
      <w:pPr>
        <w:pStyle w:val="ListBullet"/>
      </w:pPr>
      <w:r>
        <w:rPr>
          <w:rFonts w:ascii="Calibri" w:hAnsi="Calibri"/>
          <w:color w:val="232A34"/>
          <w:sz w:val="22"/>
        </w:rPr>
        <w:t>No meta-analytic effect size across published investigations.</w:t>
      </w:r>
    </w:p>
    <w:p>
      <w:pPr>
        <w:pStyle w:val="ListBullet"/>
      </w:pPr>
      <w:r>
        <w:rPr>
          <w:rFonts w:ascii="Calibri" w:hAnsi="Calibri"/>
          <w:color w:val="232A34"/>
          <w:sz w:val="22"/>
        </w:rPr>
        <w:t>No proof that the LLM tutor outperforms the structured baseline.</w:t>
      </w:r>
    </w:p>
    <w:p>
      <w:pPr>
        <w:pStyle w:val="ListBullet"/>
      </w:pPr>
      <w:r>
        <w:rPr>
          <w:rFonts w:ascii="Calibri" w:hAnsi="Calibri"/>
          <w:color w:val="232A34"/>
          <w:sz w:val="22"/>
        </w:rPr>
        <w:t>No proof that multimodal delivery outperforms text-only delivery.</w:t>
      </w:r>
    </w:p>
    <w:p>
      <w:pPr>
        <w:pStyle w:val="Heading1"/>
      </w:pPr>
      <w:r>
        <w:t>10. Research Ethics and Privacy</w:t>
      </w:r>
    </w:p>
    <w:p>
      <w:pPr>
        <w:pStyle w:val="ListBullet"/>
      </w:pPr>
      <w:r>
        <w:rPr>
          <w:rFonts w:ascii="Calibri" w:hAnsi="Calibri"/>
          <w:color w:val="232A34"/>
          <w:sz w:val="22"/>
        </w:rPr>
        <w:t>Research participation is optional and separate from basic account creation.</w:t>
      </w:r>
    </w:p>
    <w:p>
      <w:pPr>
        <w:pStyle w:val="ListBullet"/>
      </w:pPr>
      <w:r>
        <w:rPr>
          <w:rFonts w:ascii="Calibri" w:hAnsi="Calibri"/>
          <w:color w:val="232A34"/>
          <w:sz w:val="22"/>
        </w:rPr>
        <w:t>Participants receive an anonymous identifier.</w:t>
      </w:r>
    </w:p>
    <w:p>
      <w:pPr>
        <w:pStyle w:val="ListBullet"/>
      </w:pPr>
      <w:r>
        <w:rPr>
          <w:rFonts w:ascii="Calibri" w:hAnsi="Calibri"/>
          <w:color w:val="232A34"/>
          <w:sz w:val="22"/>
        </w:rPr>
        <w:t>Consent can be withdrawn; prior interactions are removed from experiment groupings.</w:t>
      </w:r>
    </w:p>
    <w:p>
      <w:pPr>
        <w:pStyle w:val="ListBullet"/>
      </w:pPr>
      <w:r>
        <w:rPr>
          <w:rFonts w:ascii="Calibri" w:hAnsi="Calibri"/>
          <w:color w:val="232A34"/>
          <w:sz w:val="22"/>
        </w:rPr>
        <w:t>Learners can export their own profile, interaction, and review data as JSON.</w:t>
      </w:r>
    </w:p>
    <w:p>
      <w:pPr>
        <w:pStyle w:val="ListBullet"/>
      </w:pPr>
      <w:r>
        <w:rPr>
          <w:rFonts w:ascii="Calibri" w:hAnsi="Calibri"/>
          <w:color w:val="232A34"/>
          <w:sz w:val="22"/>
        </w:rPr>
        <w:t>Learners can delete their account and associated learning records.</w:t>
      </w:r>
    </w:p>
    <w:p>
      <w:pPr>
        <w:pStyle w:val="ListBullet"/>
      </w:pPr>
      <w:r>
        <w:rPr>
          <w:rFonts w:ascii="Calibri" w:hAnsi="Calibri"/>
          <w:color w:val="232A34"/>
          <w:sz w:val="22"/>
        </w:rPr>
        <w:t>Research CSV exports use anonymous IDs and require a researcher role.</w:t>
      </w:r>
    </w:p>
    <w:p>
      <w:pPr>
        <w:pStyle w:val="ListBullet"/>
      </w:pPr>
      <w:r>
        <w:rPr>
          <w:rFonts w:ascii="Calibri" w:hAnsi="Calibri"/>
          <w:color w:val="232A34"/>
          <w:sz w:val="22"/>
        </w:rPr>
        <w:t>Researcher registration requires both an administrative email namespace and a private access code.</w:t>
      </w:r>
    </w:p>
    <w:p>
      <w:pPr>
        <w:pStyle w:val="ListBullet"/>
      </w:pPr>
      <w:r>
        <w:rPr>
          <w:rFonts w:ascii="Calibri" w:hAnsi="Calibri"/>
          <w:color w:val="232A34"/>
          <w:sz w:val="22"/>
        </w:rPr>
        <w:t>Collected data and intended purpose are explained in the privacy interface.</w:t>
      </w:r>
    </w:p>
    <w:p>
      <w:pPr>
        <w:pStyle w:val="Heading2"/>
      </w:pPr>
      <w:r>
        <w:t>10.1 Remaining Ethics Work</w:t>
      </w:r>
    </w:p>
    <w:p>
      <w:r>
        <w:rPr>
          <w:rFonts w:ascii="Calibri" w:hAnsi="Calibri"/>
          <w:color w:val="232A34"/>
          <w:sz w:val="22"/>
        </w:rPr>
        <w:t>Before formal human-participant research, the team should obtain institutional approval where required, finalize an information sheet and consent form, define retention periods, document data-controller responsibilities, and establish a process for participant questions and adverse events.</w:t>
      </w:r>
    </w:p>
    <w:p>
      <w:pPr>
        <w:pStyle w:val="Heading1"/>
      </w:pPr>
      <w:r>
        <w:t>11. Testing and Verification</w:t>
      </w:r>
    </w:p>
    <w:p>
      <w:r>
        <w:rPr>
          <w:rFonts w:ascii="Calibri" w:hAnsi="Calibri"/>
          <w:color w:val="232A34"/>
          <w:sz w:val="22"/>
        </w:rPr>
        <w:t>As of 12 June 2026, the backend test suite contains 12 focused tests and passes completely. The frontend TypeScript compilation and Vite production build also pass.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80" w:type="dxa"/>
              <w:start w:w="120" w:type="dxa"/>
              <w:bottom w:w="80" w:type="dxa"/>
              <w:end w:w="120" w:type="dxa"/>
            </w:tcMar>
          </w:tcPr>
          <w:p>
            <w:pPr>
              <w:spacing w:after="0"/>
            </w:pPr>
            <w:r>
              <w:rPr>
                <w:rFonts w:ascii="Calibri" w:hAnsi="Calibri"/>
                <w:b/>
                <w:color w:val="1F3A5F"/>
                <w:sz w:val="19"/>
              </w:rPr>
              <w:t>Verification area</w:t>
            </w:r>
          </w:p>
        </w:tc>
        <w:tc>
          <w:tcPr>
            <w:tcW w:type="dxa" w:w="6760"/>
            <w:shd w:fill="E8EEF5"/>
            <w:vAlign w:val="center"/>
            <w:tcMar>
              <w:top w:w="80" w:type="dxa"/>
              <w:start w:w="120" w:type="dxa"/>
              <w:bottom w:w="80" w:type="dxa"/>
              <w:end w:w="120" w:type="dxa"/>
            </w:tcMar>
          </w:tcPr>
          <w:p>
            <w:pPr>
              <w:spacing w:after="0"/>
            </w:pPr>
            <w:r>
              <w:rPr>
                <w:rFonts w:ascii="Calibri" w:hAnsi="Calibri"/>
                <w:b/>
                <w:color w:val="1F3A5F"/>
                <w:sz w:val="19"/>
              </w:rPr>
              <w:t>Evidence</w:t>
            </w:r>
          </w:p>
        </w:tc>
      </w:tr>
      <w:tr>
        <w:trPr>
          <w:cantSplit/>
        </w:trPr>
        <w:tc>
          <w:tcPr>
            <w:tcW w:type="dxa" w:w="2600"/>
            <w:vAlign w:val="center"/>
            <w:tcMar>
              <w:top w:w="80" w:type="dxa"/>
              <w:start w:w="120" w:type="dxa"/>
              <w:bottom w:w="80" w:type="dxa"/>
              <w:end w:w="120" w:type="dxa"/>
            </w:tcMar>
          </w:tcPr>
          <w:p>
            <w:pPr>
              <w:spacing w:after="0"/>
            </w:pPr>
            <w:r>
              <w:rPr>
                <w:rFonts w:ascii="Calibri" w:hAnsi="Calibri"/>
                <w:color w:val="232A34"/>
                <w:sz w:val="19"/>
              </w:rPr>
              <w:t>Authentication</w:t>
            </w:r>
          </w:p>
        </w:tc>
        <w:tc>
          <w:tcPr>
            <w:tcW w:type="dxa" w:w="6760"/>
            <w:vAlign w:val="center"/>
            <w:tcMar>
              <w:top w:w="80" w:type="dxa"/>
              <w:start w:w="120" w:type="dxa"/>
              <w:bottom w:w="80" w:type="dxa"/>
              <w:end w:w="120" w:type="dxa"/>
            </w:tcMar>
          </w:tcPr>
          <w:p>
            <w:pPr>
              <w:spacing w:after="0"/>
            </w:pPr>
            <w:r>
              <w:rPr>
                <w:rFonts w:ascii="Calibri" w:hAnsi="Calibri"/>
                <w:color w:val="232A34"/>
                <w:sz w:val="19"/>
              </w:rPr>
              <w:t>Registration, login token, and consent assignment tests</w:t>
            </w:r>
          </w:p>
        </w:tc>
      </w:tr>
      <w:tr>
        <w:trPr>
          <w:cantSplit/>
        </w:trPr>
        <w:tc>
          <w:tcPr>
            <w:tcW w:type="dxa" w:w="2600"/>
            <w:vAlign w:val="center"/>
            <w:tcMar>
              <w:top w:w="80" w:type="dxa"/>
              <w:start w:w="120" w:type="dxa"/>
              <w:bottom w:w="80" w:type="dxa"/>
              <w:end w:w="120" w:type="dxa"/>
            </w:tcMar>
          </w:tcPr>
          <w:p>
            <w:pPr>
              <w:spacing w:after="0"/>
            </w:pPr>
            <w:r>
              <w:rPr>
                <w:rFonts w:ascii="Calibri" w:hAnsi="Calibri"/>
                <w:color w:val="232A34"/>
                <w:sz w:val="19"/>
              </w:rPr>
              <w:t>Authorization</w:t>
            </w:r>
          </w:p>
        </w:tc>
        <w:tc>
          <w:tcPr>
            <w:tcW w:type="dxa" w:w="6760"/>
            <w:vAlign w:val="center"/>
            <w:tcMar>
              <w:top w:w="80" w:type="dxa"/>
              <w:start w:w="120" w:type="dxa"/>
              <w:bottom w:w="80" w:type="dxa"/>
              <w:end w:w="120" w:type="dxa"/>
            </w:tcMar>
          </w:tcPr>
          <w:p>
            <w:pPr>
              <w:spacing w:after="0"/>
            </w:pPr>
            <w:r>
              <w:rPr>
                <w:rFonts w:ascii="Calibri" w:hAnsi="Calibri"/>
                <w:color w:val="232A34"/>
                <w:sz w:val="19"/>
              </w:rPr>
              <w:t>Research routes reject learners; researcher code rejects unauthorized signup</w:t>
            </w:r>
          </w:p>
        </w:tc>
      </w:tr>
      <w:tr>
        <w:trPr>
          <w:cantSplit/>
        </w:trPr>
        <w:tc>
          <w:tcPr>
            <w:tcW w:type="dxa" w:w="2600"/>
            <w:vAlign w:val="center"/>
            <w:tcMar>
              <w:top w:w="80" w:type="dxa"/>
              <w:start w:w="120" w:type="dxa"/>
              <w:bottom w:w="80" w:type="dxa"/>
              <w:end w:w="120" w:type="dxa"/>
            </w:tcMar>
          </w:tcPr>
          <w:p>
            <w:pPr>
              <w:spacing w:after="0"/>
            </w:pPr>
            <w:r>
              <w:rPr>
                <w:rFonts w:ascii="Calibri" w:hAnsi="Calibri"/>
                <w:color w:val="232A34"/>
                <w:sz w:val="19"/>
              </w:rPr>
              <w:t>Lessons</w:t>
            </w:r>
          </w:p>
        </w:tc>
        <w:tc>
          <w:tcPr>
            <w:tcW w:type="dxa" w:w="6760"/>
            <w:vAlign w:val="center"/>
            <w:tcMar>
              <w:top w:w="80" w:type="dxa"/>
              <w:start w:w="120" w:type="dxa"/>
              <w:bottom w:w="80" w:type="dxa"/>
              <w:end w:w="120" w:type="dxa"/>
            </w:tcMar>
          </w:tcPr>
          <w:p>
            <w:pPr>
              <w:spacing w:after="0"/>
            </w:pPr>
            <w:r>
              <w:rPr>
                <w:rFonts w:ascii="Calibri" w:hAnsi="Calibri"/>
                <w:color w:val="232A34"/>
                <w:sz w:val="19"/>
              </w:rPr>
              <w:t>Prerequisite enforcement and duplicate-XP prevention</w:t>
            </w:r>
          </w:p>
        </w:tc>
      </w:tr>
      <w:tr>
        <w:trPr>
          <w:cantSplit/>
        </w:trPr>
        <w:tc>
          <w:tcPr>
            <w:tcW w:type="dxa" w:w="2600"/>
            <w:vAlign w:val="center"/>
            <w:tcMar>
              <w:top w:w="80" w:type="dxa"/>
              <w:start w:w="120" w:type="dxa"/>
              <w:bottom w:w="80" w:type="dxa"/>
              <w:end w:w="120" w:type="dxa"/>
            </w:tcMar>
          </w:tcPr>
          <w:p>
            <w:pPr>
              <w:spacing w:after="0"/>
            </w:pPr>
            <w:r>
              <w:rPr>
                <w:rFonts w:ascii="Calibri" w:hAnsi="Calibri"/>
                <w:color w:val="232A34"/>
                <w:sz w:val="19"/>
              </w:rPr>
              <w:t>Exercises</w:t>
            </w:r>
          </w:p>
        </w:tc>
        <w:tc>
          <w:tcPr>
            <w:tcW w:type="dxa" w:w="6760"/>
            <w:vAlign w:val="center"/>
            <w:tcMar>
              <w:top w:w="80" w:type="dxa"/>
              <w:start w:w="120" w:type="dxa"/>
              <w:bottom w:w="80" w:type="dxa"/>
              <w:end w:w="120" w:type="dxa"/>
            </w:tcMar>
          </w:tcPr>
          <w:p>
            <w:pPr>
              <w:spacing w:after="0"/>
            </w:pPr>
            <w:r>
              <w:rPr>
                <w:rFonts w:ascii="Calibri" w:hAnsi="Calibri"/>
                <w:color w:val="232A34"/>
                <w:sz w:val="19"/>
              </w:rPr>
              <w:t>Correct and incorrect scoring plus computed analytics</w:t>
            </w:r>
          </w:p>
        </w:tc>
      </w:tr>
      <w:tr>
        <w:trPr>
          <w:cantSplit/>
        </w:trPr>
        <w:tc>
          <w:tcPr>
            <w:tcW w:type="dxa" w:w="2600"/>
            <w:vAlign w:val="center"/>
            <w:tcMar>
              <w:top w:w="80" w:type="dxa"/>
              <w:start w:w="120" w:type="dxa"/>
              <w:bottom w:w="80" w:type="dxa"/>
              <w:end w:w="120" w:type="dxa"/>
            </w:tcMar>
          </w:tcPr>
          <w:p>
            <w:pPr>
              <w:spacing w:after="0"/>
            </w:pPr>
            <w:r>
              <w:rPr>
                <w:rFonts w:ascii="Calibri" w:hAnsi="Calibri"/>
                <w:color w:val="232A34"/>
                <w:sz w:val="19"/>
              </w:rPr>
              <w:t>Engagement</w:t>
            </w:r>
          </w:p>
        </w:tc>
        <w:tc>
          <w:tcPr>
            <w:tcW w:type="dxa" w:w="6760"/>
            <w:vAlign w:val="center"/>
            <w:tcMar>
              <w:top w:w="80" w:type="dxa"/>
              <w:start w:w="120" w:type="dxa"/>
              <w:bottom w:w="80" w:type="dxa"/>
              <w:end w:w="120" w:type="dxa"/>
            </w:tcMar>
          </w:tcPr>
          <w:p>
            <w:pPr>
              <w:spacing w:after="0"/>
            </w:pPr>
            <w:r>
              <w:rPr>
                <w:rFonts w:ascii="Calibri" w:hAnsi="Calibri"/>
                <w:color w:val="232A34"/>
                <w:sz w:val="19"/>
              </w:rPr>
              <w:t>Stored analytics reflect client-measured seconds</w:t>
            </w:r>
          </w:p>
        </w:tc>
      </w:tr>
      <w:tr>
        <w:trPr>
          <w:cantSplit/>
        </w:trPr>
        <w:tc>
          <w:tcPr>
            <w:tcW w:type="dxa" w:w="2600"/>
            <w:vAlign w:val="center"/>
            <w:tcMar>
              <w:top w:w="80" w:type="dxa"/>
              <w:start w:w="120" w:type="dxa"/>
              <w:bottom w:w="80" w:type="dxa"/>
              <w:end w:w="120" w:type="dxa"/>
            </w:tcMar>
          </w:tcPr>
          <w:p>
            <w:pPr>
              <w:spacing w:after="0"/>
            </w:pPr>
            <w:r>
              <w:rPr>
                <w:rFonts w:ascii="Calibri" w:hAnsi="Calibri"/>
                <w:color w:val="232A34"/>
                <w:sz w:val="19"/>
              </w:rPr>
              <w:t>Research export</w:t>
            </w:r>
          </w:p>
        </w:tc>
        <w:tc>
          <w:tcPr>
            <w:tcW w:type="dxa" w:w="6760"/>
            <w:vAlign w:val="center"/>
            <w:tcMar>
              <w:top w:w="80" w:type="dxa"/>
              <w:start w:w="120" w:type="dxa"/>
              <w:bottom w:w="80" w:type="dxa"/>
              <w:end w:w="120" w:type="dxa"/>
            </w:tcMar>
          </w:tcPr>
          <w:p>
            <w:pPr>
              <w:spacing w:after="0"/>
            </w:pPr>
            <w:r>
              <w:rPr>
                <w:rFonts w:ascii="Calibri" w:hAnsi="Calibri"/>
                <w:color w:val="232A34"/>
                <w:sz w:val="19"/>
              </w:rPr>
              <w:t>Consent-gated records and anonymous identifiers</w:t>
            </w:r>
          </w:p>
        </w:tc>
      </w:tr>
      <w:tr>
        <w:trPr>
          <w:cantSplit/>
        </w:trPr>
        <w:tc>
          <w:tcPr>
            <w:tcW w:type="dxa" w:w="2600"/>
            <w:vAlign w:val="center"/>
            <w:tcMar>
              <w:top w:w="80" w:type="dxa"/>
              <w:start w:w="120" w:type="dxa"/>
              <w:bottom w:w="80" w:type="dxa"/>
              <w:end w:w="120" w:type="dxa"/>
            </w:tcMar>
          </w:tcPr>
          <w:p>
            <w:pPr>
              <w:spacing w:after="0"/>
            </w:pPr>
            <w:r>
              <w:rPr>
                <w:rFonts w:ascii="Calibri" w:hAnsi="Calibri"/>
                <w:color w:val="232A34"/>
                <w:sz w:val="19"/>
              </w:rPr>
              <w:t>Spaced repetition</w:t>
            </w:r>
          </w:p>
        </w:tc>
        <w:tc>
          <w:tcPr>
            <w:tcW w:type="dxa" w:w="6760"/>
            <w:vAlign w:val="center"/>
            <w:tcMar>
              <w:top w:w="80" w:type="dxa"/>
              <w:start w:w="120" w:type="dxa"/>
              <w:bottom w:w="80" w:type="dxa"/>
              <w:end w:w="120" w:type="dxa"/>
            </w:tcMar>
          </w:tcPr>
          <w:p>
            <w:pPr>
              <w:spacing w:after="0"/>
            </w:pPr>
            <w:r>
              <w:rPr>
                <w:rFonts w:ascii="Calibri" w:hAnsi="Calibri"/>
                <w:color w:val="232A34"/>
                <w:sz w:val="19"/>
              </w:rPr>
              <w:t>Successful interval growth and failed-recall reset</w:t>
            </w:r>
          </w:p>
        </w:tc>
      </w:tr>
      <w:tr>
        <w:trPr>
          <w:cantSplit/>
        </w:trPr>
        <w:tc>
          <w:tcPr>
            <w:tcW w:type="dxa" w:w="2600"/>
            <w:vAlign w:val="center"/>
            <w:tcMar>
              <w:top w:w="80" w:type="dxa"/>
              <w:start w:w="120" w:type="dxa"/>
              <w:bottom w:w="80" w:type="dxa"/>
              <w:end w:w="120" w:type="dxa"/>
            </w:tcMar>
          </w:tcPr>
          <w:p>
            <w:pPr>
              <w:spacing w:after="0"/>
            </w:pPr>
            <w:r>
              <w:rPr>
                <w:rFonts w:ascii="Calibri" w:hAnsi="Calibri"/>
                <w:color w:val="232A34"/>
                <w:sz w:val="19"/>
              </w:rPr>
              <w:t>Database migration</w:t>
            </w:r>
          </w:p>
        </w:tc>
        <w:tc>
          <w:tcPr>
            <w:tcW w:type="dxa" w:w="6760"/>
            <w:vAlign w:val="center"/>
            <w:tcMar>
              <w:top w:w="80" w:type="dxa"/>
              <w:start w:w="120" w:type="dxa"/>
              <w:bottom w:w="80" w:type="dxa"/>
              <w:end w:w="120" w:type="dxa"/>
            </w:tcMar>
          </w:tcPr>
          <w:p>
            <w:pPr>
              <w:spacing w:after="0"/>
            </w:pPr>
            <w:r>
              <w:rPr>
                <w:rFonts w:ascii="Calibri" w:hAnsi="Calibri"/>
                <w:color w:val="232A34"/>
                <w:sz w:val="19"/>
              </w:rPr>
              <w:t>Empty database upgrades to Alembic revision 20260612_0001</w:t>
            </w:r>
          </w:p>
        </w:tc>
      </w:tr>
      <w:tr>
        <w:trPr>
          <w:cantSplit/>
        </w:trPr>
        <w:tc>
          <w:tcPr>
            <w:tcW w:type="dxa" w:w="2600"/>
            <w:vAlign w:val="center"/>
            <w:tcMar>
              <w:top w:w="80" w:type="dxa"/>
              <w:start w:w="120" w:type="dxa"/>
              <w:bottom w:w="80" w:type="dxa"/>
              <w:end w:w="120" w:type="dxa"/>
            </w:tcMar>
          </w:tcPr>
          <w:p>
            <w:pPr>
              <w:spacing w:after="0"/>
            </w:pPr>
            <w:r>
              <w:rPr>
                <w:rFonts w:ascii="Calibri" w:hAnsi="Calibri"/>
                <w:color w:val="232A34"/>
                <w:sz w:val="19"/>
              </w:rPr>
              <w:t>Deployment</w:t>
            </w:r>
          </w:p>
        </w:tc>
        <w:tc>
          <w:tcPr>
            <w:tcW w:type="dxa" w:w="6760"/>
            <w:vAlign w:val="center"/>
            <w:tcMar>
              <w:top w:w="80" w:type="dxa"/>
              <w:start w:w="120" w:type="dxa"/>
              <w:bottom w:w="80" w:type="dxa"/>
              <w:end w:w="120" w:type="dxa"/>
            </w:tcMar>
          </w:tcPr>
          <w:p>
            <w:pPr>
              <w:spacing w:after="0"/>
            </w:pPr>
            <w:r>
              <w:rPr>
                <w:rFonts w:ascii="Calibri" w:hAnsi="Calibri"/>
                <w:color w:val="232A34"/>
                <w:sz w:val="19"/>
              </w:rPr>
              <w:t>Public health, registration, login, and learner dashboard checks</w:t>
            </w:r>
          </w:p>
        </w:tc>
      </w:tr>
    </w:tbl>
    <w:p/>
    <w:p>
      <w:pPr>
        <w:spacing w:before="100" w:after="200" w:line="276" w:lineRule="auto"/>
        <w:ind w:left="115" w:right="115"/>
        <w:shd w:fill="F4F6F9"/>
        <w:pBdr>
          <w:top w:val="single" w:sz="6" w:space="5" w:color="A7ADB5"/>
          <w:left w:val="single" w:sz="6" w:space="5" w:color="A7ADB5"/>
          <w:bottom w:val="single" w:sz="6" w:space="5" w:color="A7ADB5"/>
          <w:right w:val="single" w:sz="6" w:space="5" w:color="A7ADB5"/>
        </w:pBdr>
      </w:pPr>
      <w:r>
        <w:rPr>
          <w:rFonts w:ascii="Calibri" w:hAnsi="Calibri"/>
          <w:b/>
          <w:color w:val="7A5A00"/>
          <w:sz w:val="18"/>
        </w:rPr>
        <w:t>TEST SCOPE</w:t>
        <w:br/>
      </w:r>
      <w:r>
        <w:rPr>
          <w:rFonts w:ascii="Calibri" w:hAnsi="Calibri"/>
          <w:color w:val="232A34"/>
          <w:sz w:val="21"/>
        </w:rPr>
        <w:t>These checks establish implemented behavior and regression protection. They do not validate pedagogical effectiveness or language quality across all supported content.</w:t>
      </w:r>
    </w:p>
    <w:p>
      <w:pPr>
        <w:pStyle w:val="Heading1"/>
      </w:pPr>
      <w:r>
        <w:t>12. Deployment, Persistence, and Limitations</w:t>
      </w:r>
    </w:p>
    <w:p>
      <w:pPr>
        <w:pStyle w:val="Heading2"/>
      </w:pPr>
      <w:r>
        <w:t>12.1 Current Deployment</w:t>
      </w:r>
    </w:p>
    <w:p>
      <w:pPr>
        <w:pStyle w:val="ListBullet"/>
      </w:pPr>
      <w:r>
        <w:rPr>
          <w:rFonts w:ascii="Calibri" w:hAnsi="Calibri"/>
          <w:color w:val="232A34"/>
          <w:sz w:val="22"/>
        </w:rPr>
        <w:t>Frontend: https://lingualeap-ai-eight.vercel.app</w:t>
      </w:r>
    </w:p>
    <w:p>
      <w:pPr>
        <w:pStyle w:val="ListBullet"/>
      </w:pPr>
      <w:r>
        <w:rPr>
          <w:rFonts w:ascii="Calibri" w:hAnsi="Calibri"/>
          <w:color w:val="232A34"/>
          <w:sz w:val="22"/>
        </w:rPr>
        <w:t>Backend API: https://lingualeap-api.vercel.app</w:t>
      </w:r>
    </w:p>
    <w:p>
      <w:pPr>
        <w:pStyle w:val="ListBullet"/>
      </w:pPr>
      <w:r>
        <w:rPr>
          <w:rFonts w:ascii="Calibri" w:hAnsi="Calibri"/>
          <w:color w:val="232A34"/>
          <w:sz w:val="22"/>
        </w:rPr>
        <w:t>Runtime secrets are stored as encrypted Vercel environment variables.</w:t>
      </w:r>
    </w:p>
    <w:p>
      <w:pPr>
        <w:pStyle w:val="ListBullet"/>
      </w:pPr>
      <w:r>
        <w:rPr>
          <w:rFonts w:ascii="Calibri" w:hAnsi="Calibri"/>
          <w:color w:val="232A34"/>
          <w:sz w:val="22"/>
        </w:rPr>
        <w:t>Local environment files and SQLite databases are excluded from deployment uploads.</w:t>
      </w:r>
    </w:p>
    <w:p>
      <w:pPr>
        <w:pStyle w:val="Heading2"/>
      </w:pPr>
      <w:r>
        <w:t>12.2 PostgreSQL Status</w:t>
      </w:r>
    </w:p>
    <w:p>
      <w:r>
        <w:rPr>
          <w:rFonts w:ascii="Calibri" w:hAnsi="Calibri"/>
          <w:color w:val="232A34"/>
          <w:sz w:val="22"/>
        </w:rPr>
        <w:t>The production backend is connected to managed Neon PostgreSQL through Vercel Marketplace. The application normalizes the pooled PostgreSQL URL, uses the psycopg driver, and applies the Alembic schema migration during startup. Persistence was verified by creating a learner account, deploying a new production version, and successfully authenticating the same account afterward.</w:t>
      </w:r>
    </w:p>
    <w:p>
      <w:pPr>
        <w:pStyle w:val="Heading2"/>
      </w:pPr>
      <w:r>
        <w:t>12.3 Current Limitations</w:t>
      </w:r>
    </w:p>
    <w:p>
      <w:pPr>
        <w:pStyle w:val="ListBullet"/>
      </w:pPr>
      <w:r>
        <w:rPr>
          <w:rFonts w:ascii="Calibri" w:hAnsi="Calibri"/>
          <w:color w:val="232A34"/>
          <w:sz w:val="22"/>
        </w:rPr>
        <w:t>The free managed database tier remains subject to provider quotas and operational limits.</w:t>
      </w:r>
    </w:p>
    <w:p>
      <w:pPr>
        <w:pStyle w:val="ListBullet"/>
      </w:pPr>
      <w:r>
        <w:rPr>
          <w:rFonts w:ascii="Calibri" w:hAnsi="Calibri"/>
          <w:color w:val="232A34"/>
          <w:sz w:val="22"/>
        </w:rPr>
        <w:t>Limited lesson breadth compared with mature commercial platforms.</w:t>
      </w:r>
    </w:p>
    <w:p>
      <w:pPr>
        <w:pStyle w:val="ListBullet"/>
      </w:pPr>
      <w:r>
        <w:rPr>
          <w:rFonts w:ascii="Calibri" w:hAnsi="Calibri"/>
          <w:color w:val="232A34"/>
          <w:sz w:val="22"/>
        </w:rPr>
        <w:t>Browser text-to-speech voice quality varies by device and installed voices.</w:t>
      </w:r>
    </w:p>
    <w:p>
      <w:pPr>
        <w:pStyle w:val="ListBullet"/>
      </w:pPr>
      <w:r>
        <w:rPr>
          <w:rFonts w:ascii="Calibri" w:hAnsi="Calibri"/>
          <w:color w:val="232A34"/>
          <w:sz w:val="22"/>
        </w:rPr>
        <w:t>Pronunciation scoring compares text transcriptions rather than acoustic phonemes.</w:t>
      </w:r>
    </w:p>
    <w:p>
      <w:pPr>
        <w:pStyle w:val="ListBullet"/>
      </w:pPr>
      <w:r>
        <w:rPr>
          <w:rFonts w:ascii="Calibri" w:hAnsi="Calibri"/>
          <w:color w:val="232A34"/>
          <w:sz w:val="22"/>
        </w:rPr>
        <w:t>Hosted AI availability, latency, and output quality depend on Groq.</w:t>
      </w:r>
    </w:p>
    <w:p>
      <w:pPr>
        <w:pStyle w:val="ListBullet"/>
      </w:pPr>
      <w:r>
        <w:rPr>
          <w:rFonts w:ascii="Calibri" w:hAnsi="Calibri"/>
          <w:color w:val="232A34"/>
          <w:sz w:val="22"/>
        </w:rPr>
        <w:t>Research assignments and metrics are implemented, but no formal participant study is complete.</w:t>
      </w:r>
    </w:p>
    <w:p>
      <w:pPr>
        <w:pStyle w:val="Heading1"/>
      </w:pPr>
      <w:r>
        <w:t>13. Results, Future Work, and Conclusion</w:t>
      </w:r>
    </w:p>
    <w:p>
      <w:pPr>
        <w:pStyle w:val="Heading2"/>
      </w:pPr>
      <w:r>
        <w:t>13.1 Verified Project Outcomes</w:t>
      </w:r>
    </w:p>
    <w:p>
      <w:pPr>
        <w:pStyle w:val="ListBullet"/>
      </w:pPr>
      <w:r>
        <w:rPr>
          <w:rFonts w:ascii="Calibri" w:hAnsi="Calibri"/>
          <w:color w:val="232A34"/>
          <w:sz w:val="22"/>
        </w:rPr>
        <w:t>A deployed learner-facing application for Hindi, German, and Japanese.</w:t>
      </w:r>
    </w:p>
    <w:p>
      <w:pPr>
        <w:pStyle w:val="ListBullet"/>
      </w:pPr>
      <w:r>
        <w:rPr>
          <w:rFonts w:ascii="Calibri" w:hAnsi="Calibri"/>
          <w:color w:val="232A34"/>
          <w:sz w:val="22"/>
        </w:rPr>
        <w:t>Integrated lesson, conversation, translation, pronunciation, quiz, and review workflows.</w:t>
      </w:r>
    </w:p>
    <w:p>
      <w:pPr>
        <w:pStyle w:val="ListBullet"/>
      </w:pPr>
      <w:r>
        <w:rPr>
          <w:rFonts w:ascii="Calibri" w:hAnsi="Calibri"/>
          <w:color w:val="232A34"/>
          <w:sz w:val="22"/>
        </w:rPr>
        <w:t>Persistent data models, a versioned migration, and managed production PostgreSQL.</w:t>
      </w:r>
    </w:p>
    <w:p>
      <w:pPr>
        <w:pStyle w:val="ListBullet"/>
      </w:pPr>
      <w:r>
        <w:rPr>
          <w:rFonts w:ascii="Calibri" w:hAnsi="Calibri"/>
          <w:color w:val="232A34"/>
          <w:sz w:val="22"/>
        </w:rPr>
        <w:t>Consent-based moderator capture and defensible separation of observed and simulated records.</w:t>
      </w:r>
    </w:p>
    <w:p>
      <w:pPr>
        <w:pStyle w:val="ListBullet"/>
      </w:pPr>
      <w:r>
        <w:rPr>
          <w:rFonts w:ascii="Calibri" w:hAnsi="Calibri"/>
          <w:color w:val="232A34"/>
          <w:sz w:val="22"/>
        </w:rPr>
        <w:t>Automated tests for high-risk behavioral and research-data paths.</w:t>
      </w:r>
    </w:p>
    <w:p>
      <w:pPr>
        <w:pStyle w:val="ListBullet"/>
      </w:pPr>
      <w:r>
        <w:rPr>
          <w:rFonts w:ascii="Calibri" w:hAnsi="Calibri"/>
          <w:color w:val="232A34"/>
          <w:sz w:val="22"/>
        </w:rPr>
        <w:t>Documentation that explicitly distinguishes implemented technology from future research.</w:t>
      </w:r>
    </w:p>
    <w:p>
      <w:pPr>
        <w:pStyle w:val="Heading2"/>
      </w:pPr>
      <w:r>
        <w:t>13.2 Recommended Future Work</w:t>
      </w:r>
    </w:p>
    <w:p>
      <w:pPr>
        <w:spacing w:after="80" w:line="290" w:lineRule="auto"/>
        <w:numPr>
          <w:ilvl w:val="0"/>
          <w:numId w:val="12"/>
        </w:numPr>
      </w:pPr>
      <w:r>
        <w:rPr>
          <w:rFonts w:ascii="Calibri" w:hAnsi="Calibri"/>
          <w:color w:val="232A34"/>
          <w:sz w:val="22"/>
        </w:rPr>
        <w:t>Add scheduled database backups and a documented restoration drill.</w:t>
      </w:r>
    </w:p>
    <w:p>
      <w:pPr>
        <w:spacing w:after="80" w:line="290" w:lineRule="auto"/>
        <w:numPr>
          <w:ilvl w:val="0"/>
          <w:numId w:val="12"/>
        </w:numPr>
      </w:pPr>
      <w:r>
        <w:rPr>
          <w:rFonts w:ascii="Calibri" w:hAnsi="Calibri"/>
          <w:color w:val="232A34"/>
          <w:sz w:val="22"/>
        </w:rPr>
        <w:t>Expand each language with additional CEFR-aligned levels, listening assessments, and educator-reviewed content.</w:t>
      </w:r>
    </w:p>
    <w:p>
      <w:pPr>
        <w:spacing w:after="80" w:line="290" w:lineRule="auto"/>
        <w:numPr>
          <w:ilvl w:val="0"/>
          <w:numId w:val="12"/>
        </w:numPr>
      </w:pPr>
      <w:r>
        <w:rPr>
          <w:rFonts w:ascii="Calibri" w:hAnsi="Calibri"/>
          <w:color w:val="232A34"/>
          <w:sz w:val="22"/>
        </w:rPr>
        <w:t>Replace transcript similarity with a phoneme-aware pronunciation service if higher-fidelity feedback is required.</w:t>
      </w:r>
    </w:p>
    <w:p>
      <w:pPr>
        <w:spacing w:after="80" w:line="290" w:lineRule="auto"/>
        <w:numPr>
          <w:ilvl w:val="0"/>
          <w:numId w:val="12"/>
        </w:numPr>
      </w:pPr>
      <w:r>
        <w:rPr>
          <w:rFonts w:ascii="Calibri" w:hAnsi="Calibri"/>
          <w:color w:val="232A34"/>
          <w:sz w:val="22"/>
        </w:rPr>
        <w:t>Add frontend component and end-to-end tests for microphone permissions, lesson playback, and data-export flows.</w:t>
      </w:r>
    </w:p>
    <w:p>
      <w:pPr>
        <w:spacing w:after="80" w:line="290" w:lineRule="auto"/>
        <w:numPr>
          <w:ilvl w:val="0"/>
          <w:numId w:val="12"/>
        </w:numPr>
      </w:pPr>
      <w:r>
        <w:rPr>
          <w:rFonts w:ascii="Calibri" w:hAnsi="Calibri"/>
          <w:color w:val="232A34"/>
          <w:sz w:val="22"/>
        </w:rPr>
        <w:t>Create an approved study protocol, recruit participants, and perform sample-size planning before effectiveness analysis.</w:t>
      </w:r>
    </w:p>
    <w:p>
      <w:pPr>
        <w:spacing w:after="80" w:line="290" w:lineRule="auto"/>
        <w:numPr>
          <w:ilvl w:val="0"/>
          <w:numId w:val="12"/>
        </w:numPr>
      </w:pPr>
      <w:r>
        <w:rPr>
          <w:rFonts w:ascii="Calibri" w:hAnsi="Calibri"/>
          <w:color w:val="232A34"/>
          <w:sz w:val="22"/>
        </w:rPr>
        <w:t>Report uncertainty, missing-data rules, and statistical assumptions in any future experimental results.</w:t>
      </w:r>
    </w:p>
    <w:p>
      <w:pPr>
        <w:pStyle w:val="Heading2"/>
      </w:pPr>
      <w:r>
        <w:t>13.3 Conclusion</w:t>
      </w:r>
    </w:p>
    <w:p>
      <w:r>
        <w:rPr>
          <w:rFonts w:ascii="Calibri" w:hAnsi="Calibri"/>
          <w:color w:val="232A34"/>
          <w:sz w:val="22"/>
        </w:rPr>
        <w:t>LinguaLeap AI now matches the project story presented in interviews: it is an interactive language-learning platform built with React, API integration, reusable learner flows, AI-assisted practice, and progress tracking. Its research layer is a carefully bounded extension that records moderators and supports future comparisons. The implemented system is substantial, demonstrable, and testable without relying on claims about custom deep learning, unsupported infrastructure, or unvalidated educational outcomes.</w:t>
      </w:r>
    </w:p>
    <w:p>
      <w:pPr>
        <w:pStyle w:val="Heading1"/>
      </w:pPr>
      <w:r>
        <w:t>Appendix A. Implemented API Surface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vAlign w:val="center"/>
            <w:tcMar>
              <w:top w:w="80" w:type="dxa"/>
              <w:start w:w="120" w:type="dxa"/>
              <w:bottom w:w="80" w:type="dxa"/>
              <w:end w:w="120" w:type="dxa"/>
            </w:tcMar>
          </w:tcPr>
          <w:p>
            <w:pPr>
              <w:spacing w:after="0"/>
            </w:pPr>
            <w:r>
              <w:rPr>
                <w:rFonts w:ascii="Calibri" w:hAnsi="Calibri"/>
                <w:b/>
                <w:color w:val="1F3A5F"/>
                <w:sz w:val="19"/>
              </w:rPr>
              <w:t>Area</w:t>
            </w:r>
          </w:p>
        </w:tc>
        <w:tc>
          <w:tcPr>
            <w:tcW w:type="dxa" w:w="7260"/>
            <w:shd w:fill="E8EEF5"/>
            <w:vAlign w:val="center"/>
            <w:tcMar>
              <w:top w:w="80" w:type="dxa"/>
              <w:start w:w="120" w:type="dxa"/>
              <w:bottom w:w="80" w:type="dxa"/>
              <w:end w:w="120" w:type="dxa"/>
            </w:tcMar>
          </w:tcPr>
          <w:p>
            <w:pPr>
              <w:spacing w:after="0"/>
            </w:pPr>
            <w:r>
              <w:rPr>
                <w:rFonts w:ascii="Calibri" w:hAnsi="Calibri"/>
                <w:b/>
                <w:color w:val="1F3A5F"/>
                <w:sz w:val="19"/>
              </w:rPr>
              <w:t>Representative endpoints</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Authentication</w:t>
            </w:r>
          </w:p>
        </w:tc>
        <w:tc>
          <w:tcPr>
            <w:tcW w:type="dxa" w:w="7260"/>
            <w:vAlign w:val="center"/>
            <w:tcMar>
              <w:top w:w="80" w:type="dxa"/>
              <w:start w:w="120" w:type="dxa"/>
              <w:bottom w:w="80" w:type="dxa"/>
              <w:end w:w="120" w:type="dxa"/>
            </w:tcMar>
          </w:tcPr>
          <w:p>
            <w:pPr>
              <w:spacing w:after="0"/>
            </w:pPr>
            <w:r>
              <w:rPr>
                <w:rFonts w:ascii="Calibri" w:hAnsi="Calibri"/>
                <w:color w:val="232A34"/>
                <w:sz w:val="19"/>
              </w:rPr>
              <w:t>POST /auth/register; POST /auth/login; GET /auth/me</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Learner setup</w:t>
            </w:r>
          </w:p>
        </w:tc>
        <w:tc>
          <w:tcPr>
            <w:tcW w:type="dxa" w:w="7260"/>
            <w:vAlign w:val="center"/>
            <w:tcMar>
              <w:top w:w="80" w:type="dxa"/>
              <w:start w:w="120" w:type="dxa"/>
              <w:bottom w:w="80" w:type="dxa"/>
              <w:end w:w="120" w:type="dxa"/>
            </w:tcMar>
          </w:tcPr>
          <w:p>
            <w:pPr>
              <w:spacing w:after="0"/>
            </w:pPr>
            <w:r>
              <w:rPr>
                <w:rFonts w:ascii="Calibri" w:hAnsi="Calibri"/>
                <w:color w:val="232A34"/>
                <w:sz w:val="19"/>
              </w:rPr>
              <w:t>POST /platform/language; GET /platform/bootstrap</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Lessons</w:t>
            </w:r>
          </w:p>
        </w:tc>
        <w:tc>
          <w:tcPr>
            <w:tcW w:type="dxa" w:w="7260"/>
            <w:vAlign w:val="center"/>
            <w:tcMar>
              <w:top w:w="80" w:type="dxa"/>
              <w:start w:w="120" w:type="dxa"/>
              <w:bottom w:w="80" w:type="dxa"/>
              <w:end w:w="120" w:type="dxa"/>
            </w:tcMar>
          </w:tcPr>
          <w:p>
            <w:pPr>
              <w:spacing w:after="0"/>
            </w:pPr>
            <w:r>
              <w:rPr>
                <w:rFonts w:ascii="Calibri" w:hAnsi="Calibri"/>
                <w:color w:val="232A34"/>
                <w:sz w:val="19"/>
              </w:rPr>
              <w:t>GET /platform/curriculum; GET /platform/lessons/{id}; POST /platform/lessons/{id}/complete</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Practice</w:t>
            </w:r>
          </w:p>
        </w:tc>
        <w:tc>
          <w:tcPr>
            <w:tcW w:type="dxa" w:w="7260"/>
            <w:vAlign w:val="center"/>
            <w:tcMar>
              <w:top w:w="80" w:type="dxa"/>
              <w:start w:w="120" w:type="dxa"/>
              <w:bottom w:w="80" w:type="dxa"/>
              <w:end w:w="120" w:type="dxa"/>
            </w:tcMar>
          </w:tcPr>
          <w:p>
            <w:pPr>
              <w:spacing w:after="0"/>
            </w:pPr>
            <w:r>
              <w:rPr>
                <w:rFonts w:ascii="Calibri" w:hAnsi="Calibri"/>
                <w:color w:val="232A34"/>
                <w:sz w:val="19"/>
              </w:rPr>
              <w:t>GET /platform/exercises; POST /platform/exercises/submit; POST /platform/tutor</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Language tools</w:t>
            </w:r>
          </w:p>
        </w:tc>
        <w:tc>
          <w:tcPr>
            <w:tcW w:type="dxa" w:w="7260"/>
            <w:vAlign w:val="center"/>
            <w:tcMar>
              <w:top w:w="80" w:type="dxa"/>
              <w:start w:w="120" w:type="dxa"/>
              <w:bottom w:w="80" w:type="dxa"/>
              <w:end w:w="120" w:type="dxa"/>
            </w:tcMar>
          </w:tcPr>
          <w:p>
            <w:pPr>
              <w:spacing w:after="0"/>
            </w:pPr>
            <w:r>
              <w:rPr>
                <w:rFonts w:ascii="Calibri" w:hAnsi="Calibri"/>
                <w:color w:val="232A34"/>
                <w:sz w:val="19"/>
              </w:rPr>
              <w:t>POST /platform/translate; POST /platform/pronunciation</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Spaced review</w:t>
            </w:r>
          </w:p>
        </w:tc>
        <w:tc>
          <w:tcPr>
            <w:tcW w:type="dxa" w:w="7260"/>
            <w:vAlign w:val="center"/>
            <w:tcMar>
              <w:top w:w="80" w:type="dxa"/>
              <w:start w:w="120" w:type="dxa"/>
              <w:bottom w:w="80" w:type="dxa"/>
              <w:end w:w="120" w:type="dxa"/>
            </w:tcMar>
          </w:tcPr>
          <w:p>
            <w:pPr>
              <w:spacing w:after="0"/>
            </w:pPr>
            <w:r>
              <w:rPr>
                <w:rFonts w:ascii="Calibri" w:hAnsi="Calibri"/>
                <w:color w:val="232A34"/>
                <w:sz w:val="19"/>
              </w:rPr>
              <w:t>GET /platform/reviews; POST /platform/reviews/{id}</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Assessment</w:t>
            </w:r>
          </w:p>
        </w:tc>
        <w:tc>
          <w:tcPr>
            <w:tcW w:type="dxa" w:w="7260"/>
            <w:vAlign w:val="center"/>
            <w:tcMar>
              <w:top w:w="80" w:type="dxa"/>
              <w:start w:w="120" w:type="dxa"/>
              <w:bottom w:w="80" w:type="dxa"/>
              <w:end w:w="120" w:type="dxa"/>
            </w:tcMar>
          </w:tcPr>
          <w:p>
            <w:pPr>
              <w:spacing w:after="0"/>
            </w:pPr>
            <w:r>
              <w:rPr>
                <w:rFonts w:ascii="Calibri" w:hAnsi="Calibri"/>
                <w:color w:val="232A34"/>
                <w:sz w:val="19"/>
              </w:rPr>
              <w:t>POST /platform/assessment</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Analytics</w:t>
            </w:r>
          </w:p>
        </w:tc>
        <w:tc>
          <w:tcPr>
            <w:tcW w:type="dxa" w:w="7260"/>
            <w:vAlign w:val="center"/>
            <w:tcMar>
              <w:top w:w="80" w:type="dxa"/>
              <w:start w:w="120" w:type="dxa"/>
              <w:bottom w:w="80" w:type="dxa"/>
              <w:end w:w="120" w:type="dxa"/>
            </w:tcMar>
          </w:tcPr>
          <w:p>
            <w:pPr>
              <w:spacing w:after="0"/>
            </w:pPr>
            <w:r>
              <w:rPr>
                <w:rFonts w:ascii="Calibri" w:hAnsi="Calibri"/>
                <w:color w:val="232A34"/>
                <w:sz w:val="19"/>
              </w:rPr>
              <w:t>GET /platform/analytics; GET /platform/research</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Ethics</w:t>
            </w:r>
          </w:p>
        </w:tc>
        <w:tc>
          <w:tcPr>
            <w:tcW w:type="dxa" w:w="7260"/>
            <w:vAlign w:val="center"/>
            <w:tcMar>
              <w:top w:w="80" w:type="dxa"/>
              <w:start w:w="120" w:type="dxa"/>
              <w:bottom w:w="80" w:type="dxa"/>
              <w:end w:w="120" w:type="dxa"/>
            </w:tcMar>
          </w:tcPr>
          <w:p>
            <w:pPr>
              <w:spacing w:after="0"/>
            </w:pPr>
            <w:r>
              <w:rPr>
                <w:rFonts w:ascii="Calibri" w:hAnsi="Calibri"/>
                <w:color w:val="232A34"/>
                <w:sz w:val="19"/>
              </w:rPr>
              <w:t>GET /platform/privacy; PATCH /platform/privacy/consent; GET /platform/account/export; DELETE /platform/account</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32A34"/>
                <w:sz w:val="19"/>
              </w:rPr>
              <w:t>Research export</w:t>
            </w:r>
          </w:p>
        </w:tc>
        <w:tc>
          <w:tcPr>
            <w:tcW w:type="dxa" w:w="7260"/>
            <w:vAlign w:val="center"/>
            <w:tcMar>
              <w:top w:w="80" w:type="dxa"/>
              <w:start w:w="120" w:type="dxa"/>
              <w:bottom w:w="80" w:type="dxa"/>
              <w:end w:w="120" w:type="dxa"/>
            </w:tcMar>
          </w:tcPr>
          <w:p>
            <w:pPr>
              <w:spacing w:after="0"/>
            </w:pPr>
            <w:r>
              <w:rPr>
                <w:rFonts w:ascii="Calibri" w:hAnsi="Calibri"/>
                <w:color w:val="232A34"/>
                <w:sz w:val="19"/>
              </w:rPr>
              <w:t>GET /platform/research/export</w:t>
            </w:r>
          </w:p>
        </w:tc>
      </w:tr>
    </w:tbl>
    <w:p/>
    <w:p>
      <w:pPr>
        <w:pStyle w:val="Heading1"/>
      </w:pPr>
      <w:r>
        <w:t>Appendix B. Claim Audit</w:t>
      </w:r>
    </w:p>
    <w:tbl>
      <w:tblPr>
        <w:tblStyle w:val="TableGrid"/>
        <w:tblW w:type="dxa" w:w="9360"/>
        <w:jc w:val="left"/>
        <w:tblLayout w:type="fixed"/>
        <w:tblLook w:firstColumn="1" w:firstRow="1" w:lastColumn="0" w:lastRow="0" w:noHBand="0" w:noVBand="1" w:val="04A0"/>
        <w:tblInd w:w="120" w:type="dxa"/>
      </w:tblPr>
      <w:tblGrid>
        <w:gridCol w:w="3600"/>
        <w:gridCol w:w="1200"/>
        <w:gridCol w:w="4560"/>
      </w:tblGrid>
      <w:tr>
        <w:trPr>
          <w:tblHeader w:val="true"/>
        </w:trPr>
        <w:tc>
          <w:tcPr>
            <w:tcW w:type="dxa" w:w="3600"/>
            <w:shd w:fill="E8EEF5"/>
            <w:vAlign w:val="center"/>
            <w:tcMar>
              <w:top w:w="80" w:type="dxa"/>
              <w:start w:w="120" w:type="dxa"/>
              <w:bottom w:w="80" w:type="dxa"/>
              <w:end w:w="120" w:type="dxa"/>
            </w:tcMar>
          </w:tcPr>
          <w:p>
            <w:pPr>
              <w:spacing w:after="0"/>
            </w:pPr>
            <w:r>
              <w:rPr>
                <w:rFonts w:ascii="Calibri" w:hAnsi="Calibri"/>
                <w:b/>
                <w:color w:val="1F3A5F"/>
                <w:sz w:val="19"/>
              </w:rPr>
              <w:t>Claim in earlier report</w:t>
            </w:r>
          </w:p>
        </w:tc>
        <w:tc>
          <w:tcPr>
            <w:tcW w:type="dxa" w:w="1200"/>
            <w:shd w:fill="E8EEF5"/>
            <w:vAlign w:val="center"/>
            <w:tcMar>
              <w:top w:w="80" w:type="dxa"/>
              <w:start w:w="120" w:type="dxa"/>
              <w:bottom w:w="80" w:type="dxa"/>
              <w:end w:w="120" w:type="dxa"/>
            </w:tcMar>
          </w:tcPr>
          <w:p>
            <w:pPr>
              <w:spacing w:after="0"/>
            </w:pPr>
            <w:r>
              <w:rPr>
                <w:rFonts w:ascii="Calibri" w:hAnsi="Calibri"/>
                <w:b/>
                <w:color w:val="1F3A5F"/>
                <w:sz w:val="19"/>
              </w:rPr>
              <w:t>Status</w:t>
            </w:r>
          </w:p>
        </w:tc>
        <w:tc>
          <w:tcPr>
            <w:tcW w:type="dxa" w:w="4560"/>
            <w:shd w:fill="E8EEF5"/>
            <w:vAlign w:val="center"/>
            <w:tcMar>
              <w:top w:w="80" w:type="dxa"/>
              <w:start w:w="120" w:type="dxa"/>
              <w:bottom w:w="80" w:type="dxa"/>
              <w:end w:w="120" w:type="dxa"/>
            </w:tcMar>
          </w:tcPr>
          <w:p>
            <w:pPr>
              <w:spacing w:after="0"/>
            </w:pPr>
            <w:r>
              <w:rPr>
                <w:rFonts w:ascii="Calibri" w:hAnsi="Calibri"/>
                <w:b/>
                <w:color w:val="1F3A5F"/>
                <w:sz w:val="19"/>
              </w:rPr>
              <w:t>Correct replacement</w:t>
            </w:r>
          </w:p>
        </w:tc>
      </w:tr>
      <w:tr>
        <w:trPr>
          <w:cantSplit/>
        </w:trPr>
        <w:tc>
          <w:tcPr>
            <w:tcW w:type="dxa" w:w="3600"/>
            <w:vAlign w:val="center"/>
            <w:tcMar>
              <w:top w:w="80" w:type="dxa"/>
              <w:start w:w="120" w:type="dxa"/>
              <w:bottom w:w="80" w:type="dxa"/>
              <w:end w:w="120" w:type="dxa"/>
            </w:tcMar>
          </w:tcPr>
          <w:p>
            <w:pPr>
              <w:spacing w:after="0"/>
            </w:pPr>
            <w:r>
              <w:rPr>
                <w:rFonts w:ascii="Calibri" w:hAnsi="Calibri"/>
                <w:color w:val="232A34"/>
                <w:sz w:val="19"/>
              </w:rPr>
              <w:t>TensorFlow/PyTorch models are implemented and trained</w:t>
            </w:r>
          </w:p>
        </w:tc>
        <w:tc>
          <w:tcPr>
            <w:tcW w:type="dxa" w:w="1200"/>
            <w:vAlign w:val="center"/>
            <w:tcMar>
              <w:top w:w="80" w:type="dxa"/>
              <w:start w:w="120" w:type="dxa"/>
              <w:bottom w:w="80" w:type="dxa"/>
              <w:end w:w="120" w:type="dxa"/>
            </w:tcMar>
          </w:tcPr>
          <w:p>
            <w:pPr>
              <w:spacing w:after="0"/>
            </w:pPr>
            <w:r>
              <w:rPr>
                <w:rFonts w:ascii="Calibri" w:hAnsi="Calibri"/>
                <w:color w:val="232A34"/>
                <w:sz w:val="19"/>
              </w:rPr>
              <w:t>Remove</w:t>
            </w:r>
          </w:p>
        </w:tc>
        <w:tc>
          <w:tcPr>
            <w:tcW w:type="dxa" w:w="4560"/>
            <w:vAlign w:val="center"/>
            <w:tcMar>
              <w:top w:w="80" w:type="dxa"/>
              <w:start w:w="120" w:type="dxa"/>
              <w:bottom w:w="80" w:type="dxa"/>
              <w:end w:w="120" w:type="dxa"/>
            </w:tcMar>
          </w:tcPr>
          <w:p>
            <w:pPr>
              <w:spacing w:after="0"/>
            </w:pPr>
            <w:r>
              <w:rPr>
                <w:rFonts w:ascii="Calibri" w:hAnsi="Calibri"/>
                <w:color w:val="232A34"/>
                <w:sz w:val="19"/>
              </w:rPr>
              <w:t>Groq-hosted model is called through an API; no custom training</w:t>
            </w:r>
          </w:p>
        </w:tc>
      </w:tr>
      <w:tr>
        <w:trPr>
          <w:cantSplit/>
        </w:trPr>
        <w:tc>
          <w:tcPr>
            <w:tcW w:type="dxa" w:w="3600"/>
            <w:vAlign w:val="center"/>
            <w:tcMar>
              <w:top w:w="80" w:type="dxa"/>
              <w:start w:w="120" w:type="dxa"/>
              <w:bottom w:w="80" w:type="dxa"/>
              <w:end w:w="120" w:type="dxa"/>
            </w:tcMar>
          </w:tcPr>
          <w:p>
            <w:pPr>
              <w:spacing w:after="0"/>
            </w:pPr>
            <w:r>
              <w:rPr>
                <w:rFonts w:ascii="Calibri" w:hAnsi="Calibri"/>
                <w:color w:val="232A34"/>
                <w:sz w:val="19"/>
              </w:rPr>
              <w:t>Hugging Face, spaCy, and NLTK power the analysis</w:t>
            </w:r>
          </w:p>
        </w:tc>
        <w:tc>
          <w:tcPr>
            <w:tcW w:type="dxa" w:w="1200"/>
            <w:vAlign w:val="center"/>
            <w:tcMar>
              <w:top w:w="80" w:type="dxa"/>
              <w:start w:w="120" w:type="dxa"/>
              <w:bottom w:w="80" w:type="dxa"/>
              <w:end w:w="120" w:type="dxa"/>
            </w:tcMar>
          </w:tcPr>
          <w:p>
            <w:pPr>
              <w:spacing w:after="0"/>
            </w:pPr>
            <w:r>
              <w:rPr>
                <w:rFonts w:ascii="Calibri" w:hAnsi="Calibri"/>
                <w:color w:val="232A34"/>
                <w:sz w:val="19"/>
              </w:rPr>
              <w:t>Remove</w:t>
            </w:r>
          </w:p>
        </w:tc>
        <w:tc>
          <w:tcPr>
            <w:tcW w:type="dxa" w:w="4560"/>
            <w:vAlign w:val="center"/>
            <w:tcMar>
              <w:top w:w="80" w:type="dxa"/>
              <w:start w:w="120" w:type="dxa"/>
              <w:bottom w:w="80" w:type="dxa"/>
              <w:end w:w="120" w:type="dxa"/>
            </w:tcMar>
          </w:tcPr>
          <w:p>
            <w:pPr>
              <w:spacing w:after="0"/>
            </w:pPr>
            <w:r>
              <w:rPr>
                <w:rFonts w:ascii="Calibri" w:hAnsi="Calibri"/>
                <w:color w:val="232A34"/>
                <w:sz w:val="19"/>
              </w:rPr>
              <w:t>Not present in the implemented dependency set</w:t>
            </w:r>
          </w:p>
        </w:tc>
      </w:tr>
      <w:tr>
        <w:trPr>
          <w:cantSplit/>
        </w:trPr>
        <w:tc>
          <w:tcPr>
            <w:tcW w:type="dxa" w:w="3600"/>
            <w:vAlign w:val="center"/>
            <w:tcMar>
              <w:top w:w="80" w:type="dxa"/>
              <w:start w:w="120" w:type="dxa"/>
              <w:bottom w:w="80" w:type="dxa"/>
              <w:end w:w="120" w:type="dxa"/>
            </w:tcMar>
          </w:tcPr>
          <w:p>
            <w:pPr>
              <w:spacing w:after="0"/>
            </w:pPr>
            <w:r>
              <w:rPr>
                <w:rFonts w:ascii="Calibri" w:hAnsi="Calibri"/>
                <w:color w:val="232A34"/>
                <w:sz w:val="19"/>
              </w:rPr>
              <w:t>Hybrid MongoDB/PostgreSQL architecture</w:t>
            </w:r>
          </w:p>
        </w:tc>
        <w:tc>
          <w:tcPr>
            <w:tcW w:type="dxa" w:w="1200"/>
            <w:vAlign w:val="center"/>
            <w:tcMar>
              <w:top w:w="80" w:type="dxa"/>
              <w:start w:w="120" w:type="dxa"/>
              <w:bottom w:w="80" w:type="dxa"/>
              <w:end w:w="120" w:type="dxa"/>
            </w:tcMar>
          </w:tcPr>
          <w:p>
            <w:pPr>
              <w:spacing w:after="0"/>
            </w:pPr>
            <w:r>
              <w:rPr>
                <w:rFonts w:ascii="Calibri" w:hAnsi="Calibri"/>
                <w:color w:val="232A34"/>
                <w:sz w:val="19"/>
              </w:rPr>
              <w:t>Remove</w:t>
            </w:r>
          </w:p>
        </w:tc>
        <w:tc>
          <w:tcPr>
            <w:tcW w:type="dxa" w:w="4560"/>
            <w:vAlign w:val="center"/>
            <w:tcMar>
              <w:top w:w="80" w:type="dxa"/>
              <w:start w:w="120" w:type="dxa"/>
              <w:bottom w:w="80" w:type="dxa"/>
              <w:end w:w="120" w:type="dxa"/>
            </w:tcMar>
          </w:tcPr>
          <w:p>
            <w:pPr>
              <w:spacing w:after="0"/>
            </w:pPr>
            <w:r>
              <w:rPr>
                <w:rFonts w:ascii="Calibri" w:hAnsi="Calibri"/>
                <w:color w:val="232A34"/>
                <w:sz w:val="19"/>
              </w:rPr>
              <w:t>SQLAlchemy relational schema; SQLite local; managed Neon PostgreSQL production</w:t>
            </w:r>
          </w:p>
        </w:tc>
      </w:tr>
      <w:tr>
        <w:trPr>
          <w:cantSplit/>
        </w:trPr>
        <w:tc>
          <w:tcPr>
            <w:tcW w:type="dxa" w:w="3600"/>
            <w:vAlign w:val="center"/>
            <w:tcMar>
              <w:top w:w="80" w:type="dxa"/>
              <w:start w:w="120" w:type="dxa"/>
              <w:bottom w:w="80" w:type="dxa"/>
              <w:end w:w="120" w:type="dxa"/>
            </w:tcMar>
          </w:tcPr>
          <w:p>
            <w:pPr>
              <w:spacing w:after="0"/>
            </w:pPr>
            <w:r>
              <w:rPr>
                <w:rFonts w:ascii="Calibri" w:hAnsi="Calibri"/>
                <w:color w:val="232A34"/>
                <w:sz w:val="19"/>
              </w:rPr>
              <w:t>Docker and Kubernetes provide scalable deployment</w:t>
            </w:r>
          </w:p>
        </w:tc>
        <w:tc>
          <w:tcPr>
            <w:tcW w:type="dxa" w:w="1200"/>
            <w:vAlign w:val="center"/>
            <w:tcMar>
              <w:top w:w="80" w:type="dxa"/>
              <w:start w:w="120" w:type="dxa"/>
              <w:bottom w:w="80" w:type="dxa"/>
              <w:end w:w="120" w:type="dxa"/>
            </w:tcMar>
          </w:tcPr>
          <w:p>
            <w:pPr>
              <w:spacing w:after="0"/>
            </w:pPr>
            <w:r>
              <w:rPr>
                <w:rFonts w:ascii="Calibri" w:hAnsi="Calibri"/>
                <w:color w:val="232A34"/>
                <w:sz w:val="19"/>
              </w:rPr>
              <w:t>Remove</w:t>
            </w:r>
          </w:p>
        </w:tc>
        <w:tc>
          <w:tcPr>
            <w:tcW w:type="dxa" w:w="4560"/>
            <w:vAlign w:val="center"/>
            <w:tcMar>
              <w:top w:w="80" w:type="dxa"/>
              <w:start w:w="120" w:type="dxa"/>
              <w:bottom w:w="80" w:type="dxa"/>
              <w:end w:w="120" w:type="dxa"/>
            </w:tcMar>
          </w:tcPr>
          <w:p>
            <w:pPr>
              <w:spacing w:after="0"/>
            </w:pPr>
            <w:r>
              <w:rPr>
                <w:rFonts w:ascii="Calibri" w:hAnsi="Calibri"/>
                <w:color w:val="232A34"/>
                <w:sz w:val="19"/>
              </w:rPr>
              <w:t>Vercel hosts the React and FastAPI applications</w:t>
            </w:r>
          </w:p>
        </w:tc>
      </w:tr>
      <w:tr>
        <w:trPr>
          <w:cantSplit/>
        </w:trPr>
        <w:tc>
          <w:tcPr>
            <w:tcW w:type="dxa" w:w="3600"/>
            <w:vAlign w:val="center"/>
            <w:tcMar>
              <w:top w:w="80" w:type="dxa"/>
              <w:start w:w="120" w:type="dxa"/>
              <w:bottom w:w="80" w:type="dxa"/>
              <w:end w:w="120" w:type="dxa"/>
            </w:tcMar>
          </w:tcPr>
          <w:p>
            <w:pPr>
              <w:spacing w:after="0"/>
            </w:pPr>
            <w:r>
              <w:rPr>
                <w:rFonts w:ascii="Calibri" w:hAnsi="Calibri"/>
                <w:color w:val="232A34"/>
                <w:sz w:val="19"/>
              </w:rPr>
              <w:t>Meta-analysis aggregates multiple empirical studies</w:t>
            </w:r>
          </w:p>
        </w:tc>
        <w:tc>
          <w:tcPr>
            <w:tcW w:type="dxa" w:w="1200"/>
            <w:vAlign w:val="center"/>
            <w:tcMar>
              <w:top w:w="80" w:type="dxa"/>
              <w:start w:w="120" w:type="dxa"/>
              <w:bottom w:w="80" w:type="dxa"/>
              <w:end w:w="120" w:type="dxa"/>
            </w:tcMar>
          </w:tcPr>
          <w:p>
            <w:pPr>
              <w:spacing w:after="0"/>
            </w:pPr>
            <w:r>
              <w:rPr>
                <w:rFonts w:ascii="Calibri" w:hAnsi="Calibri"/>
                <w:color w:val="232A34"/>
                <w:sz w:val="19"/>
              </w:rPr>
              <w:t>Reframe</w:t>
            </w:r>
          </w:p>
        </w:tc>
        <w:tc>
          <w:tcPr>
            <w:tcW w:type="dxa" w:w="4560"/>
            <w:vAlign w:val="center"/>
            <w:tcMar>
              <w:top w:w="80" w:type="dxa"/>
              <w:start w:w="120" w:type="dxa"/>
              <w:bottom w:w="80" w:type="dxa"/>
              <w:end w:w="120" w:type="dxa"/>
            </w:tcMar>
          </w:tcPr>
          <w:p>
            <w:pPr>
              <w:spacing w:after="0"/>
            </w:pPr>
            <w:r>
              <w:rPr>
                <w:rFonts w:ascii="Calibri" w:hAnsi="Calibri"/>
                <w:color w:val="232A34"/>
                <w:sz w:val="19"/>
              </w:rPr>
              <w:t>The product records moderators for a future controlled comparison; no study-level meta-analysis is implemented</w:t>
            </w:r>
          </w:p>
        </w:tc>
      </w:tr>
      <w:tr>
        <w:trPr>
          <w:cantSplit/>
        </w:trPr>
        <w:tc>
          <w:tcPr>
            <w:tcW w:type="dxa" w:w="3600"/>
            <w:vAlign w:val="center"/>
            <w:tcMar>
              <w:top w:w="80" w:type="dxa"/>
              <w:start w:w="120" w:type="dxa"/>
              <w:bottom w:w="80" w:type="dxa"/>
              <w:end w:w="120" w:type="dxa"/>
            </w:tcMar>
          </w:tcPr>
          <w:p>
            <w:pPr>
              <w:spacing w:after="0"/>
            </w:pPr>
            <w:r>
              <w:rPr>
                <w:rFonts w:ascii="Calibri" w:hAnsi="Calibri"/>
                <w:color w:val="232A34"/>
                <w:sz w:val="19"/>
              </w:rPr>
              <w:t>Empirical validation demonstrates effectiveness</w:t>
            </w:r>
          </w:p>
        </w:tc>
        <w:tc>
          <w:tcPr>
            <w:tcW w:type="dxa" w:w="1200"/>
            <w:vAlign w:val="center"/>
            <w:tcMar>
              <w:top w:w="80" w:type="dxa"/>
              <w:start w:w="120" w:type="dxa"/>
              <w:bottom w:w="80" w:type="dxa"/>
              <w:end w:w="120" w:type="dxa"/>
            </w:tcMar>
          </w:tcPr>
          <w:p>
            <w:pPr>
              <w:spacing w:after="0"/>
            </w:pPr>
            <w:r>
              <w:rPr>
                <w:rFonts w:ascii="Calibri" w:hAnsi="Calibri"/>
                <w:color w:val="232A34"/>
                <w:sz w:val="19"/>
              </w:rPr>
              <w:t>Remove</w:t>
            </w:r>
          </w:p>
        </w:tc>
        <w:tc>
          <w:tcPr>
            <w:tcW w:type="dxa" w:w="4560"/>
            <w:vAlign w:val="center"/>
            <w:tcMar>
              <w:top w:w="80" w:type="dxa"/>
              <w:start w:w="120" w:type="dxa"/>
              <w:bottom w:w="80" w:type="dxa"/>
              <w:end w:w="120" w:type="dxa"/>
            </w:tcMar>
          </w:tcPr>
          <w:p>
            <w:pPr>
              <w:spacing w:after="0"/>
            </w:pPr>
            <w:r>
              <w:rPr>
                <w:rFonts w:ascii="Calibri" w:hAnsi="Calibri"/>
                <w:color w:val="232A34"/>
                <w:sz w:val="19"/>
              </w:rPr>
              <w:t>Only functional software verification has been completed</w:t>
            </w:r>
          </w:p>
        </w:tc>
      </w:tr>
      <w:tr>
        <w:trPr>
          <w:cantSplit/>
        </w:trPr>
        <w:tc>
          <w:tcPr>
            <w:tcW w:type="dxa" w:w="3600"/>
            <w:vAlign w:val="center"/>
            <w:tcMar>
              <w:top w:w="80" w:type="dxa"/>
              <w:start w:w="120" w:type="dxa"/>
              <w:bottom w:w="80" w:type="dxa"/>
              <w:end w:w="120" w:type="dxa"/>
            </w:tcMar>
          </w:tcPr>
          <w:p>
            <w:pPr>
              <w:spacing w:after="0"/>
            </w:pPr>
            <w:r>
              <w:rPr>
                <w:rFonts w:ascii="Calibri" w:hAnsi="Calibri"/>
                <w:color w:val="232A34"/>
                <w:sz w:val="19"/>
              </w:rPr>
              <w:t>Framework outperforms conventional methods</w:t>
            </w:r>
          </w:p>
        </w:tc>
        <w:tc>
          <w:tcPr>
            <w:tcW w:type="dxa" w:w="1200"/>
            <w:vAlign w:val="center"/>
            <w:tcMar>
              <w:top w:w="80" w:type="dxa"/>
              <w:start w:w="120" w:type="dxa"/>
              <w:bottom w:w="80" w:type="dxa"/>
              <w:end w:w="120" w:type="dxa"/>
            </w:tcMar>
          </w:tcPr>
          <w:p>
            <w:pPr>
              <w:spacing w:after="0"/>
            </w:pPr>
            <w:r>
              <w:rPr>
                <w:rFonts w:ascii="Calibri" w:hAnsi="Calibri"/>
                <w:color w:val="232A34"/>
                <w:sz w:val="19"/>
              </w:rPr>
              <w:t>Remove</w:t>
            </w:r>
          </w:p>
        </w:tc>
        <w:tc>
          <w:tcPr>
            <w:tcW w:type="dxa" w:w="4560"/>
            <w:vAlign w:val="center"/>
            <w:tcMar>
              <w:top w:w="80" w:type="dxa"/>
              <w:start w:w="120" w:type="dxa"/>
              <w:bottom w:w="80" w:type="dxa"/>
              <w:end w:w="120" w:type="dxa"/>
            </w:tcMar>
          </w:tcPr>
          <w:p>
            <w:pPr>
              <w:spacing w:after="0"/>
            </w:pPr>
            <w:r>
              <w:rPr>
                <w:rFonts w:ascii="Calibri" w:hAnsi="Calibri"/>
                <w:color w:val="232A34"/>
                <w:sz w:val="19"/>
              </w:rPr>
              <w:t>No adequately powered comparative result exists</w:t>
            </w:r>
          </w:p>
        </w:tc>
      </w:tr>
      <w:tr>
        <w:trPr>
          <w:cantSplit/>
        </w:trPr>
        <w:tc>
          <w:tcPr>
            <w:tcW w:type="dxa" w:w="3600"/>
            <w:vAlign w:val="center"/>
            <w:tcMar>
              <w:top w:w="80" w:type="dxa"/>
              <w:start w:w="120" w:type="dxa"/>
              <w:bottom w:w="80" w:type="dxa"/>
              <w:end w:w="120" w:type="dxa"/>
            </w:tcMar>
          </w:tcPr>
          <w:p>
            <w:pPr>
              <w:spacing w:after="0"/>
            </w:pPr>
            <w:r>
              <w:rPr>
                <w:rFonts w:ascii="Calibri" w:hAnsi="Calibri"/>
                <w:color w:val="232A34"/>
                <w:sz w:val="19"/>
              </w:rPr>
              <w:t>Confusion matrix proves chatbot accuracy</w:t>
            </w:r>
          </w:p>
        </w:tc>
        <w:tc>
          <w:tcPr>
            <w:tcW w:type="dxa" w:w="1200"/>
            <w:vAlign w:val="center"/>
            <w:tcMar>
              <w:top w:w="80" w:type="dxa"/>
              <w:start w:w="120" w:type="dxa"/>
              <w:bottom w:w="80" w:type="dxa"/>
              <w:end w:w="120" w:type="dxa"/>
            </w:tcMar>
          </w:tcPr>
          <w:p>
            <w:pPr>
              <w:spacing w:after="0"/>
            </w:pPr>
            <w:r>
              <w:rPr>
                <w:rFonts w:ascii="Calibri" w:hAnsi="Calibri"/>
                <w:color w:val="232A34"/>
                <w:sz w:val="19"/>
              </w:rPr>
              <w:t>Reframe</w:t>
            </w:r>
          </w:p>
        </w:tc>
        <w:tc>
          <w:tcPr>
            <w:tcW w:type="dxa" w:w="4560"/>
            <w:vAlign w:val="center"/>
            <w:tcMar>
              <w:top w:w="80" w:type="dxa"/>
              <w:start w:w="120" w:type="dxa"/>
              <w:bottom w:w="80" w:type="dxa"/>
              <w:end w:w="120" w:type="dxa"/>
            </w:tcMar>
          </w:tcPr>
          <w:p>
            <w:pPr>
              <w:spacing w:after="0"/>
            </w:pPr>
            <w:r>
              <w:rPr>
                <w:rFonts w:ascii="Calibri" w:hAnsi="Calibri"/>
                <w:color w:val="232A34"/>
                <w:sz w:val="19"/>
              </w:rPr>
              <w:t>Matrix summarizes stored task correctness and score threshold agreement; it is not a validated model benchmark</w:t>
            </w:r>
          </w:p>
        </w:tc>
      </w:tr>
      <w:tr>
        <w:trPr>
          <w:cantSplit/>
        </w:trPr>
        <w:tc>
          <w:tcPr>
            <w:tcW w:type="dxa" w:w="3600"/>
            <w:vAlign w:val="center"/>
            <w:tcMar>
              <w:top w:w="80" w:type="dxa"/>
              <w:start w:w="120" w:type="dxa"/>
              <w:bottom w:w="80" w:type="dxa"/>
              <w:end w:w="120" w:type="dxa"/>
            </w:tcMar>
          </w:tcPr>
          <w:p>
            <w:pPr>
              <w:spacing w:after="0"/>
            </w:pPr>
            <w:r>
              <w:rPr>
                <w:rFonts w:ascii="Calibri" w:hAnsi="Calibri"/>
                <w:color w:val="232A34"/>
                <w:sz w:val="19"/>
              </w:rPr>
              <w:t>Large-scale dataset and generalizable findings</w:t>
            </w:r>
          </w:p>
        </w:tc>
        <w:tc>
          <w:tcPr>
            <w:tcW w:type="dxa" w:w="1200"/>
            <w:vAlign w:val="center"/>
            <w:tcMar>
              <w:top w:w="80" w:type="dxa"/>
              <w:start w:w="120" w:type="dxa"/>
              <w:bottom w:w="80" w:type="dxa"/>
              <w:end w:w="120" w:type="dxa"/>
            </w:tcMar>
          </w:tcPr>
          <w:p>
            <w:pPr>
              <w:spacing w:after="0"/>
            </w:pPr>
            <w:r>
              <w:rPr>
                <w:rFonts w:ascii="Calibri" w:hAnsi="Calibri"/>
                <w:color w:val="232A34"/>
                <w:sz w:val="19"/>
              </w:rPr>
              <w:t>Remove</w:t>
            </w:r>
          </w:p>
        </w:tc>
        <w:tc>
          <w:tcPr>
            <w:tcW w:type="dxa" w:w="4560"/>
            <w:vAlign w:val="center"/>
            <w:tcMar>
              <w:top w:w="80" w:type="dxa"/>
              <w:start w:w="120" w:type="dxa"/>
              <w:bottom w:w="80" w:type="dxa"/>
              <w:end w:w="120" w:type="dxa"/>
            </w:tcMar>
          </w:tcPr>
          <w:p>
            <w:pPr>
              <w:spacing w:after="0"/>
            </w:pPr>
            <w:r>
              <w:rPr>
                <w:rFonts w:ascii="Calibri" w:hAnsi="Calibri"/>
                <w:color w:val="232A34"/>
                <w:sz w:val="19"/>
              </w:rPr>
              <w:t>Demo data is simulated and labeled; observed sample size must be reported</w:t>
            </w:r>
          </w:p>
        </w:tc>
      </w:tr>
    </w:tbl>
    <w:p/>
    <w:p>
      <w:pPr>
        <w:pStyle w:val="Heading1"/>
      </w:pPr>
      <w:r>
        <w:t>References</w:t>
      </w:r>
    </w:p>
    <w:p>
      <w:pPr>
        <w:spacing w:after="80" w:line="290" w:lineRule="auto"/>
        <w:numPr>
          <w:ilvl w:val="0"/>
          <w:numId w:val="13"/>
        </w:numPr>
      </w:pPr>
      <w:r>
        <w:rPr>
          <w:rFonts w:ascii="Calibri" w:hAnsi="Calibri"/>
          <w:color w:val="232A34"/>
          <w:sz w:val="22"/>
        </w:rPr>
        <w:t>FastAPI Documentation. https://fastapi.tiangolo.com/</w:t>
      </w:r>
    </w:p>
    <w:p>
      <w:pPr>
        <w:spacing w:after="80" w:line="290" w:lineRule="auto"/>
        <w:numPr>
          <w:ilvl w:val="0"/>
          <w:numId w:val="13"/>
        </w:numPr>
      </w:pPr>
      <w:r>
        <w:rPr>
          <w:rFonts w:ascii="Calibri" w:hAnsi="Calibri"/>
          <w:color w:val="232A34"/>
          <w:sz w:val="22"/>
        </w:rPr>
        <w:t>SQLAlchemy Documentation. https://docs.sqlalchemy.org/</w:t>
      </w:r>
    </w:p>
    <w:p>
      <w:pPr>
        <w:spacing w:after="80" w:line="290" w:lineRule="auto"/>
        <w:numPr>
          <w:ilvl w:val="0"/>
          <w:numId w:val="13"/>
        </w:numPr>
      </w:pPr>
      <w:r>
        <w:rPr>
          <w:rFonts w:ascii="Calibri" w:hAnsi="Calibri"/>
          <w:color w:val="232A34"/>
          <w:sz w:val="22"/>
        </w:rPr>
        <w:t>Alembic Documentation. https://alembic.sqlalchemy.org/</w:t>
      </w:r>
    </w:p>
    <w:p>
      <w:pPr>
        <w:spacing w:after="80" w:line="290" w:lineRule="auto"/>
        <w:numPr>
          <w:ilvl w:val="0"/>
          <w:numId w:val="13"/>
        </w:numPr>
      </w:pPr>
      <w:r>
        <w:rPr>
          <w:rFonts w:ascii="Calibri" w:hAnsi="Calibri"/>
          <w:color w:val="232A34"/>
          <w:sz w:val="22"/>
        </w:rPr>
        <w:t>Groq Documentation. https://console.groq.com/docs</w:t>
      </w:r>
    </w:p>
    <w:p>
      <w:pPr>
        <w:spacing w:after="80" w:line="290" w:lineRule="auto"/>
        <w:numPr>
          <w:ilvl w:val="0"/>
          <w:numId w:val="13"/>
        </w:numPr>
      </w:pPr>
      <w:r>
        <w:rPr>
          <w:rFonts w:ascii="Calibri" w:hAnsi="Calibri"/>
          <w:color w:val="232A34"/>
          <w:sz w:val="22"/>
        </w:rPr>
        <w:t>Vercel Documentation: Postgres on Vercel. https://vercel.com/docs/postgres</w:t>
      </w:r>
    </w:p>
    <w:p>
      <w:pPr>
        <w:spacing w:after="80" w:line="290" w:lineRule="auto"/>
        <w:numPr>
          <w:ilvl w:val="0"/>
          <w:numId w:val="13"/>
        </w:numPr>
      </w:pPr>
      <w:r>
        <w:rPr>
          <w:rFonts w:ascii="Calibri" w:hAnsi="Calibri"/>
          <w:color w:val="232A34"/>
          <w:sz w:val="22"/>
        </w:rPr>
        <w:t>SuperMemo. SM-2 spaced repetition algorithm description.</w:t>
      </w:r>
    </w:p>
    <w:p>
      <w:pPr>
        <w:spacing w:after="80" w:line="290" w:lineRule="auto"/>
        <w:numPr>
          <w:ilvl w:val="0"/>
          <w:numId w:val="13"/>
        </w:numPr>
      </w:pPr>
      <w:r>
        <w:rPr>
          <w:rFonts w:ascii="Calibri" w:hAnsi="Calibri"/>
          <w:color w:val="232A34"/>
          <w:sz w:val="22"/>
        </w:rPr>
        <w:t>Council of Europe. Common European Framework of Reference for Languages (CEFR).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67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670"/>
        <w:sz w:val="17"/>
      </w:rPr>
      <w:t>LINGUALEAP AI | IMPLEMENTATION-ALIGNED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40" w:hanging="280"/>
      </w:pPr>
    </w:lvl>
  </w:abstractNum>
  <w:num w:numId="10">
    <w:abstractNumId w:val="9"/>
  </w:num>
  <w:abstractNum w:abstractNumId="10">
    <w:multiLevelType w:val="singleLevel"/>
    <w:lvl w:ilvl="0">
      <w:start w:val="1"/>
      <w:numFmt w:val="decimal"/>
      <w:lvlText w:val="%1."/>
      <w:lvlJc w:val="left"/>
      <w:pPr>
        <w:ind w:left="540" w:hanging="280"/>
      </w:pPr>
    </w:lvl>
  </w:abstractNum>
  <w:num w:numId="11">
    <w:abstractNumId w:val="10"/>
  </w:num>
  <w:abstractNum w:abstractNumId="11">
    <w:multiLevelType w:val="singleLevel"/>
    <w:lvl w:ilvl="0">
      <w:start w:val="1"/>
      <w:numFmt w:val="decimal"/>
      <w:lvlText w:val="%1."/>
      <w:lvlJc w:val="left"/>
      <w:pPr>
        <w:ind w:left="540" w:hanging="280"/>
      </w:pPr>
    </w:lvl>
  </w:abstractNum>
  <w:num w:numId="12">
    <w:abstractNumId w:val="11"/>
  </w:num>
  <w:abstractNum w:abstractNumId="12">
    <w:multiLevelType w:val="singleLevel"/>
    <w:lvl w:ilvl="0">
      <w:start w:val="1"/>
      <w:numFmt w:val="decimal"/>
      <w:lvlText w:val="%1."/>
      <w:lvlJc w:val="left"/>
      <w:pPr>
        <w:ind w:left="540" w:hanging="28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pPr>
    <w:rPr>
      <w:rFonts w:ascii="Calibri" w:hAnsi="Calibri"/>
      <w:color w:val="232A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LinguaLeap AI - Implementation-Aligned Project Report</dc:title>
  <dc:subject>Truthful technical and evaluation report for LinguaLeap AI</dc:subject>
  <dc:creator>LinguaLeap AI Project Team</dc:creator>
  <cp:keywords>language learning, React, FastAPI, Groq, spaced repetition, learning analytics</cp:keywords>
  <dc:description>generated by python-docx</dc:description>
  <cp:lastModifiedBy/>
  <cp:revision>1</cp:revision>
  <dcterms:created xsi:type="dcterms:W3CDTF">2013-12-23T23:15:00Z</dcterms:created>
  <dcterms:modified xsi:type="dcterms:W3CDTF">2013-12-23T23:15:00Z</dcterms:modified>
  <cp:category/>
</cp:coreProperties>
</file>