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(“Athens-PROIEL”)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 Old</w:t>
      </w:r>
      <w:r>
        <w:t xml:space="preserve"> </w:t>
      </w:r>
      <w:r>
        <w:t xml:space="preserve">Church Slavonic (Marianus), and Classical Armenian. AthDGC builds on the</w:t>
      </w:r>
      <w:r>
        <w:t xml:space="preserve"> </w:t>
      </w:r>
      <w:r>
        <w:t xml:space="preserve">PROIEL Treebank Family (Haug and Jøhndal 2008, 27–34; Eckhoff et al. 2018,</w:t>
      </w:r>
      <w:r>
        <w:t xml:space="preserve"> </w:t>
      </w:r>
      <w:r>
        <w:t xml:space="preserve">29–65), which established the schema and the Koine-Greek reference set for the</w:t>
      </w:r>
      <w:r>
        <w:t xml:space="preserve"> </w:t>
      </w:r>
      <w:r>
        <w:t xml:space="preserve">project. Annotation uses the Stanford Stanza PROIEL-trained workflow;</w:t>
      </w:r>
      <w:r>
        <w:t xml:space="preserve"> </w:t>
      </w:r>
      <w:r>
        <w:t xml:space="preserve">sentence-level alignment uses LaBSE, a multilingual sentence-embedding model;</w:t>
      </w:r>
      <w:r>
        <w:t xml:space="preserve"> </w:t>
      </w:r>
      <w:r>
        <w:t xml:space="preserve">word-level alignment uses multilingual-BERT attention through the AwesomeAlign</w:t>
      </w:r>
      <w:r>
        <w:t xml:space="preserve"> </w:t>
      </w:r>
      <w:r>
        <w:t xml:space="preserve">procedure. The v0.4 release provides curated samples and the open-source</w:t>
      </w:r>
      <w:r>
        <w:t xml:space="preserve"> </w:t>
      </w:r>
      <w:r>
        <w:t xml:space="preserve">toolkit; the full annotated corpus partitions remain under v0.5 audit on the</w:t>
      </w:r>
      <w:r>
        <w:t xml:space="preserve"> </w:t>
      </w:r>
      <w:r>
        <w:t xml:space="preserve">Greek national HPC. Quantitative scale, per-witness verse counts, and per-</w:t>
      </w:r>
      <w:r>
        <w:t xml:space="preserve"> </w:t>
      </w:r>
      <w:r>
        <w:t xml:space="preserve">period annotated-row counts are reported as the v0.5 release notes, after the</w:t>
      </w:r>
      <w:r>
        <w:t xml:space="preserve"> </w:t>
      </w:r>
      <w:r>
        <w:t xml:space="preserve">audit pass completes.</w:t>
      </w:r>
    </w:p>
    <w:p>
      <w:pPr>
        <w:pStyle w:val="FirstParagraph"/>
      </w:pPr>
      <w:r>
        <w:rPr>
          <w:b/>
          <w:bCs/>
        </w:rP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rPr>
          <w:rStyle w:val="VerbatimChar"/>
        </w:rPr>
        <w:t xml:space="preserve">https://doi.org/10.5281/zenodo.20439182</w:t>
      </w:r>
    </w:p>
    <w:bookmarkStart w:id="12"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 Iliad,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 (Haug and Jøhndal 2008, 27–34; Eckhoff et al. 2018, 29–65) 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 who does what to whom 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 retranslation: the same canonical text is re-rendered into Greek across periods (Homeric, Koine, Byzantine, Modern) and into sister languages (Latin, Gothic, Old Church Slavonic, Classical Armenian) across the Indo-European family. The platform records these re-renderings as a retelling and retranslation chain (see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 Iliad of 1955, and which collapse under the Byzantine epitome of Tzetzes.</w:t>
      </w:r>
    </w:p>
    <w:bookmarkEnd w:id="9"/>
    <w:bookmarkStart w:id="10" w:name="repository-location"/>
    <w:p>
      <w:pPr>
        <w:pStyle w:val="Heading3"/>
      </w:pPr>
      <w:r>
        <w:t xml:space="preserve">1.2 Repository location</w:t>
      </w:r>
    </w:p>
    <w:p>
      <w:pPr>
        <w:pStyle w:val="FirstParagraph"/>
      </w:pPr>
      <w:r>
        <w:t xml:space="preserve">The public showcase of the platform is hosted at https://athdgc.github.io, and the v0.4.0 source-code snapshot is permanently deposited on Zenodo (an open-access research-data repository operated by CERN, which mints persistent DOIs for each deposit) under concept DOI 10.5281/zenodo.20439182. A concept DOI (a Digital Object Identifier that always resolves to the latest version of a deposited record) is the citation handle that does not change as the project versions advance; per-version DOIs are minted automatically on each release. The source repository AthDGC/Diachronic-Linguistics-Platform on GitHub remains private during the v0.5 audit pass, and becomes public at the v0.5 release, when the consolidated tools/ directory and the verified annotated partitions are in place.</w:t>
      </w:r>
    </w:p>
    <w:bookmarkEnd w:id="10"/>
    <w:bookmarkStart w:id="11"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 pa260305.</w:t>
      </w:r>
    </w:p>
    <w:bookmarkEnd w:id="11"/>
    <w:bookmarkEnd w:id="12"/>
    <w:bookmarkStart w:id="19"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 Iliad, μῆνιν ἄειδε θεὰ Πηληϊάδεω Ἀχιλῆος (“Wrath sing, goddess, of Peleiades Achilles”), so that the reader can follow the same sentence from raw input to a fully annotated and cross-aligned record.</w:t>
      </w:r>
    </w:p>
    <w:bookmarkStart w:id="13"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 Iliad worked example, the discovery stage retrieves the Homeric text from the Perseus Digital Library through its CTS URN (Canonical Text Services Uniform Resource Name, a standard identifier scheme used by classical-text repositories for referring to a specific edition of a specific work), urn:cts:greekLit:tlg0012.tlg001, together with the Kakridis-Kazantzakis 1955 prose translation, mirrored on Wikisource, and the Tzetzes Byzantine epitome from Bibliotheca Augustana.</w:t>
      </w:r>
    </w:p>
    <w:bookmarkEnd w:id="13"/>
    <w:bookmarkStart w:id="14"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v0.5 release notes will report per-archive rejection statistics.</w:t>
      </w:r>
    </w:p>
    <w:bookmarkEnd w:id="14"/>
    <w:bookmarkStart w:id="15"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t xml:space="preserve"> </w:t>
      </w:r>
      <w:r>
        <w:t xml:space="preserve">element, each token wrapped in a</w:t>
      </w:r>
      <w:r>
        <w:t xml:space="preserve"> </w:t>
      </w:r>
      <w:r>
        <w:t xml:space="preserve"> </w:t>
      </w:r>
      <w:r>
        <w:t xml:space="preserve">element, and every token carrying attributes for its form, lemma, part-of-speech tag (pos), ten-character morphological tag (morphology), syntactic head identifier (head-id), and dependency relation to that head (relation). For the worked example, the conversion stage produces a</w:t>
      </w:r>
      <w:r>
        <w:t xml:space="preserve"> </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5"/>
    <w:bookmarkStart w:id="16" w:name="annotation"/>
    <w:p>
      <w:pPr>
        <w:pStyle w:val="Heading3"/>
      </w:pPr>
      <w:r>
        <w:t xml:space="preserve">2.4 Annotation</w:t>
      </w:r>
    </w:p>
    <w:p>
      <w:pPr>
        <w:pStyle w:val="FirstParagraph"/>
      </w:pPr>
      <w:r>
        <w:t xml:space="preserve">Annotation is performed sentence by sentence with the Stanford Stanza processor (Qi et al. 2020, 101–8). Stanza (Stanford’s open-source Python toolkit for automatic linguistic annotation, which performs tokenisation, lemmatisation, part-of-speech tagging, morphological analysis, and dependency parsing in a single workflow) provides PROIEL-trained models for several of the older Indo-European languages: grc_proiel for Koine Greek, la_proiel for Latin, cu_proiel for Old Church Slavonic, and got_proiel 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 Nb, morphology Nb-s—fa- (a noun, singular, feminine, accusative), head identifier 2, and relation obj (direct object). The verb ἄειδε receives lemma ἀείδω, part-of-speech V-, morphology V-spia— (verb, second person singular, present, imperative, active), head identifier 0 (sentence root), and relation pred (predicate).</w:t>
      </w:r>
    </w:p>
    <w:bookmarkEnd w:id="16"/>
    <w:bookmarkStart w:id="17"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(sub, including the raised patterns xobj for raising objects and nonsub for non-subject controllers), the direct object (obj), the indirect and oblique arguments (iobj for indirect object, obl for oblique), the vocative addressee (voc), the voice (active, middle, or passive), and the aspect (perfective or imperfective). For the worked example, the verb ἄειδε receives the frame [sub:imp.2sg, obj:μῆνιν(acc.sg.f), voc:θεὰ(voc.sg.f), voice:active, aspect:imperfective]. This frame is the unit on which downstream queries operate: a diachronic researcher can ask, for instance, across the Iliad reception, does the verb of singing retain its direct-object case-marking through the Byzantine epitome and the Modern Greek prose translation, or does it switch to a prepositional phrase? and receive an answer that does not require manual re-reading of the texts.</w:t>
      </w:r>
    </w:p>
    <w:bookmarkEnd w:id="17"/>
    <w:bookmarkStart w:id="18" w:name="cross-lingual-alignment"/>
    <w:p>
      <w:pPr>
        <w:pStyle w:val="Heading3"/>
      </w:pPr>
      <w:r>
        <w:t xml:space="preserve">2.6 Cross-lingual alignment</w:t>
      </w:r>
    </w:p>
    <w:p>
      <w:pPr>
        <w:pStyle w:val="FirstParagraph"/>
      </w:pPr>
      <w:r>
        <w:t xml:space="preserve">Sentence-level alignment uses LaBSE embeddings (Feng et al. 2022, 878–91).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18"/>
    <w:bookmarkEnd w:id="19"/>
    <w:bookmarkStart w:id="26"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t xml:space="preserve">grc (Ancient Greek), gkm (Medieval Greek), ell (Modern Greek), with parallels in lat, got, chu, xcl; queued for v0.7: san, ang, ave, peo, 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t xml:space="preserve">AthDGC/Diachronic-Linguistics-Platform on GitHub (private during v0.5 audit; public at v0.5)</w:t>
            </w:r>
          </w:p>
        </w:tc>
      </w:tr>
      <w:tr>
        <w:tc>
          <w:tcPr/>
          <w:p>
            <w:pPr>
              <w:pStyle w:val="Compact"/>
            </w:pPr>
            <w:r>
              <w:t xml:space="preserve">Concept DOI</w:t>
            </w:r>
          </w:p>
        </w:tc>
        <w:tc>
          <w:tcPr/>
          <w:p>
            <w:pPr>
              <w:pStyle w:val="Compact"/>
            </w:pPr>
            <w:r>
              <w:t xml:space="preserve">10.5281/zenodo.20439182</w:t>
            </w:r>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release at v0.5</w:t>
            </w:r>
          </w:p>
        </w:tc>
      </w:tr>
    </w:tbl>
    <w:bookmarkStart w:id="22"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0"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0"/>
    <w:bookmarkStart w:id="21"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1"/>
    <w:bookmarkEnd w:id="22"/>
    <w:bookmarkStart w:id="23"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t xml:space="preserve">xcl_proiel (in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t xml:space="preserve">sa_vedic (queued)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t xml:space="preserve">ang_proiel (queued)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t xml:space="preserve">ae_proiel (queued)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t xml:space="preserve">peo_proiel (queued)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t xml:space="preserve">uk_dep 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be reported in the v0.5 release notes once the ARIS audit pass closes. Accordingly, the v0.4 release provides the curated samples on the Samples page rather than full per-witness counts.</w:t>
      </w:r>
    </w:p>
    <w:bookmarkEnd w:id="23"/>
    <w:bookmarkStart w:id="24"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 Iliad 1.1 across reception (Homer, Tzetzes, Kazantzakis), the Septuagint Psalm 1:1 across Greek periods, the New Testament John 1:1 patristic and Modern reception, the Plato Apology 17a across reception, and the Septuagint Genesis 1:1 across four Indo-European languages. We present the Iliad 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(obj, accusative singular feminine), ἄειδε the predicate (imperative second person singular, active, imperfective), θεὰ the vocative addressee (voc), and the genitive pair Πηληϊάδεω Ἀχιλῆος a coordinated attribute (atr) hanging from the object noun. The argument-structure frame of the verb is [sub:imp.2sg, obj:μῆνιν, voc:θεὰ, voice:active, aspect:imperfective], and the frame signature [obj:acc, voc:voc] 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 [obj:acc, voc:voc] 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 Iliad. Under AthDGC annotation, the wrath remains a direct object in the Modern Greek accusative, the vocative of the goddess is restored, and the verb of singing returns. The characteristic frame [obj:acc, voc:voc] 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 frame-stability(Iliad 1.1, Homer, Modern).</w:t>
      </w:r>
    </w:p>
    <w:p>
      <w:pPr>
        <w:pStyle w:val="BodyText"/>
      </w:pPr>
      <w:r>
        <w:t xml:space="preserve">The Septuagint Psalm 1:1 retranslation chain shows the inverse pattern, namely the stability of pred-nom + sub + atr.rel-cl 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 xcomp of φησίν (“he says”), which is a structural reflex of the Late-Antique commentary register. The Plato Apology 17a chain shows the preservation of the pred + adv:neg + comp[sub, obl] pattern across the Plato-to-Modern path, with the perfect aspect alternating between the synthetic Classical form and the analytic Modern Greek auxiliary plus participle. The Septuagint Genesis 1:1 cross-IE chain shows the stability of the pred + sub + obl/adv + obj + coord pattern across the Greek, Latin Vulgate, Gothic Wulfila, and Old Church Slavonic Marianus nodes, with only the obl and adv 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4"/>
    <w:bookmarkStart w:id="25"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and become available with the v0.5 release, namely the PROIEL XML 2.0 schema validator (which enforces the relation inventory and rejects UD-style labels such as nsubj and dobj; UD here is Universal Dependencies, the alternative treebanking framework whose label inventory is incompatible with PROIEL), the house-style check, the argument-frame extractor, the Stanza fine-tuning scripts, the athdgc-tools 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 https://athdgc.github.io/tools.html and on the Status page at https://athdgc.github.io/status.html.</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 nsubj, dobj, nmod, case) and a house-style check that enforces the project style guide.</w:t>
      </w:r>
    </w:p>
    <w:bookmarkEnd w:id="25"/>
    <w:bookmarkEnd w:id="26"/>
    <w:bookmarkStart w:id="27"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 (Haug and Jøhndal 2008, 27–34; Eckhoff et al. 2018, 29–65),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27"/>
    <w:bookmarkStart w:id="28"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 for the verb ἀκούω (“hear”), is the object more often in the accusative or in the genitive at each period?,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 every Greek aorist active verb whose Latin Vulgate counterpart is passive, which is expressed in Cypher (Cypher is the query language of Neo4j, structurally analogous to SQL for relational databases, in which MATCH patterns are drawn directly with arrows between nodes) as MATCH (gk:Token {lang:</w:t>
      </w:r>
      <w:r>
        <w:t xml:space="preserve">“grc”</w:t>
      </w:r>
      <w:r>
        <w:t xml:space="preserve">, tense:</w:t>
      </w:r>
      <w:r>
        <w:t xml:space="preserve">“aor”</w:t>
      </w:r>
      <w:r>
        <w:t xml:space="preserve">, voice:</w:t>
      </w:r>
      <w:r>
        <w:t xml:space="preserve">“act”</w:t>
      </w:r>
      <w:r>
        <w:t xml:space="preserve">})-[:TRANSLATED_AS]-&gt;(la:Token {lang:</w:t>
      </w:r>
      <w:r>
        <w:t xml:space="preserve">“lat”</w:t>
      </w:r>
      <w:r>
        <w:t xml:space="preserve">, voice:</w:t>
      </w:r>
      <w:r>
        <w:t xml:space="preserve">“pass”</w:t>
      </w:r>
      <w:r>
        <w:t xml:space="preserve">}) RETURN gk, la,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(grc_byz_proiel for Byzantine Greek, grc_lbem_proiel for Late Byzantine and Early Modern Greek, grc_mod_proiel for Modern Greek) are trained on ARIS; the Hugging Face model repositories under AthDGC/* exist now as private during the v0.5 audit pass and become public at v0.5 with the weight payloads (the trained parameter files that the checkpoints comprise) uploaded. In broad terms, the PyPI package athdgc-tools reserves the name with the stub 0.4.0.dev0,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 train an SVM classifier (Support Vector Machine, a standard classification algorithm) on grc_proiel argument-structure frames to distinguish Archaic from Classical from Koine Greek, and inspect the top-weighted frames per class, which is the kind of analysis that the LightSIDE-AthDGC fork makes a one-hour classroom exercise.</w:t>
      </w:r>
    </w:p>
    <w:p>
      <w:pPr>
        <w:pStyle w:val="BodyText"/>
      </w:pPr>
      <w:r>
        <w:t xml:space="preserve">Fourthly, digital editions and pedagogy. The showcase generator (51_build_showcase_site.py)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 .docx, .pptx, Beamer, and an A0-format academic poster, from a single source. Both are open-source and reusable by other historical-treebank projects. The platform is taught as a KEDIVIM continuing-education course at NKUA, Ψηφιακά Εργαλεία για τη Διαχρονική Ανάλυση της Γλώσσας / Digital Tools for the Diachronic Analysis of Language, autumn 2026; see https://athdgc.github.io/training.html.</w:t>
      </w:r>
    </w:p>
    <w:bookmarkEnd w:id="28"/>
    <w:bookmarkStart w:id="29" w:name="access-and-format"/>
    <w:p>
      <w:pPr>
        <w:pStyle w:val="Heading2"/>
      </w:pPr>
      <w:r>
        <w:t xml:space="preserve">6. Access and format</w:t>
      </w:r>
    </w:p>
    <w:p>
      <w:pPr>
        <w:pStyle w:val="FirstParagraph"/>
      </w:pPr>
      <w:r>
        <w:t xml:space="preserve">The public site at https://athdgc.github.io provides curated samples only for the v0.4 release. The full annotated corpus partitions remain under audit on the GRNET ARIS national HPC under allocation pa260305; they release at v0.5 as a separate Zenodo dataset record under CC-BY-4.0. The source-code snapshot at the v0.4.0 Zenodo record is Apache-2.0.</w:t>
      </w:r>
    </w:p>
    <w:p>
      <w:pPr>
        <w:pStyle w:val="BodyText"/>
      </w:pPr>
      <w:r>
        <w:t xml:space="preserve">The toolkit’s readiness per module is summarised in §3.4 and on the public Tools page at https://athdgc.github.io/tools.html. Five modules are LIVE today (the Quarto template pack, the showcase generator, the corpus-fix toolkit, the PROIEL XML 2.0 exporter inside the build workflow, and the Stanza annotation job script). Eight are IN SETUP and be included with the v0.5 release. The LightSIDE-AthDGC syntactic-feature fork, the NoSketch-style concordancer, the Neo4j alignment viewer, the valency-frame database client, the retranslation-pair browser, and the retelling-chain explorer are FORTHCOMING at v0.5.</w:t>
      </w:r>
    </w:p>
    <w:bookmarkEnd w:id="29"/>
    <w:bookmarkStart w:id="30" w:name="acknowledgements"/>
    <w:p>
      <w:pPr>
        <w:pStyle w:val="Heading2"/>
      </w:pPr>
      <w:r>
        <w:t xml:space="preserve">7. Acknowledgements</w:t>
      </w:r>
    </w:p>
    <w:p>
      <w:pPr>
        <w:pStyle w:val="FirstParagraph"/>
      </w:pPr>
      <w:r>
        <w:t xml:space="preserve">Funded by the Hellenic Foundation for Research and Innovation (HFRI) under the 3rd Call for HFRI Research Projects to support Post-Doctoral Researchers, Project No. 20577; with complementary support from the Greece 2.0 National Recovery and Resilience Plan. Compute supplied by GRNET ARIS, the Greek national high-performance computing cluster, under allocation pa260305.</w:t>
      </w:r>
    </w:p>
    <w:p>
      <w:pPr>
        <w:pStyle w:val="BodyText"/>
      </w:pPr>
      <w:r>
        <w:t xml:space="preserve">The funded project is CVL-CDSAML: A Corpus-based Valency Lexicon for a Contrastive and Diachronic Study of Ancient and Medieval Languages.</w:t>
      </w:r>
    </w:p>
    <w:p>
      <w:pPr>
        <w:pStyle w:val="BodyText"/>
      </w:pPr>
      <w:r>
        <w:t xml:space="preserve">The team comprises Prof. Nikolaos Lavidas (Principal Investigator, NKUA), Prof. Emerita Kiki Nikiforidou (NKUA; Co-Editor of the Genres and Influential Texts volume), Prof. Dag Haug (University of Oslo; PROIEL Project Director), Prof. Leonid Kulikov (Ghent University; diachronic typology, valency questionnaires), Dr. Vassiliki Geka (NKUA; Post-Doctoral Researcher; Co-Editor of the Genres and Influential Texts 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0"/>
    <w:bookmarkStart w:id="31" w:name="references"/>
    <w:p>
      <w:pPr>
        <w:pStyle w:val="Heading2"/>
      </w:pPr>
      <w:r>
        <w:t xml:space="preserve">References</w:t>
      </w:r>
    </w:p>
    <w:p>
      <w:pPr>
        <w:pStyle w:val="FirstParagraph"/>
      </w:pPr>
      <w:r>
        <w:t xml:space="preserve">Dou, Zi-Yi, and Graham Neubig. 2021. “Word Alignment by Fine-Tuning Embeddings on Parallel Corpora.” Proceedings of the 16th Conference of the European Chapter of the Association for Computational Linguistics: Main Volume (EACL 2021), 2112–28.</w:t>
      </w:r>
    </w:p>
    <w:p>
      <w:pPr>
        <w:pStyle w:val="BodyText"/>
      </w:pPr>
      <w:r>
        <w:t xml:space="preserve">Eckhoff, Hanne M., Kristin Bech, Gerlof Bouma, et al. 2018. “The PROIEL Treebank Family: A Standard for Early Attestations of Indo-European Languages.” Language Resources and Evaluation 52 (1): 29–65.</w:t>
      </w:r>
    </w:p>
    <w:p>
      <w:pPr>
        <w:pStyle w:val="BodyText"/>
      </w:pPr>
      <w:r>
        <w:t xml:space="preserve">Feng, Fangxiaoyu, Yinfei Yang, Daniel Cer, Naveen Arivazhagan, and Wei Wang. 2022. “Language-Agnostic BERT Sentence Embedding.” Proceedings of the 60th Annual Meeting of the Association for Computational Linguistics (ACL 2022), Volume 1: Long Papers, 878–91.</w:t>
      </w:r>
    </w:p>
    <w:p>
      <w:pPr>
        <w:pStyle w:val="BodyText"/>
      </w:pPr>
      <w:r>
        <w:t xml:space="preserve">Haug, Dag T. T., and Marius Jøhndal. 2008. “Creating a Parallel Treebank of the Old Indo-European Bible Translations.” Proceedings of the Second Workshop on Language Technology for Cultural Heritage Data (LaTeCH 2008), 27–34.</w:t>
      </w:r>
    </w:p>
    <w:p>
      <w:pPr>
        <w:pStyle w:val="BodyText"/>
      </w:pPr>
      <w:r>
        <w:t xml:space="preserve">List, Johann-Mattis. 2014. Sequence Comparison in Historical Linguistics. Düsseldorf University Press.</w:t>
      </w:r>
    </w:p>
    <w:p>
      <w:pPr>
        <w:pStyle w:val="BodyText"/>
      </w:pPr>
      <w:r>
        <w:t xml:space="preserve">Qi, Peng, Yuhao Zhang, Yuhui Zhang, Jason Bolton, and Christopher D. Manning. 2020. “Stanza: A Python Natural Language Processing Toolkit for Many Human Languages.” Proceedings of the 58th Annual Meeting of the Association for Computational Linguistics: System Demonstrations (ACL 2020), 101–8.</w:t>
      </w:r>
    </w:p>
    <w:bookmarkEnd w:id="31"/>
    <w:bookmarkStart w:id="35" w:name="references-1"/>
    <w:p>
      <w:pPr>
        <w:pStyle w:val="Heading2"/>
      </w:pPr>
      <w:r>
        <w:t xml:space="preserve">References</w:t>
      </w:r>
    </w:p>
    <w:bookmarkStart w:id="34" w:name="refs"/>
    <w:bookmarkStart w:id="32"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2"/>
    <w:bookmarkStart w:id="33"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33"/>
    <w:bookmarkEnd w:id="34"/>
    <w:bookmarkEnd w:id="35"/>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88" w:lineRule="auto"/>
      <w:jc w:val="both"/>
    </w:pPr>
    <w:rPr>
      <w:rFonts w:ascii="Cambria" w:cs="Cambria" w:eastAsia="Cambria" w:hAnsi="Cambria"/>
      <w:b w:val="0"/>
      <w:i w:val="0"/>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outlineLvl w:val="0"/>
    </w:pPr>
    <w:rPr>
      <w:rFonts w:ascii="Cambria" w:asciiTheme="majorHAnsi" w:cs="Cambria" w:cstheme="majorBidi" w:eastAsia="Cambria" w:eastAsiaTheme="majorEastAsia" w:hAnsi="Cambria" w:hAnsiTheme="majorHAnsi"/>
      <w:b/>
      <w:bCs/>
      <w:i w:val="0"/>
      <w:color w:val="6E1414"/>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outlineLvl w:val="1"/>
    </w:pPr>
    <w:rPr>
      <w:rFonts w:ascii="Cambria" w:asciiTheme="majorHAnsi" w:cs="Cambria" w:cstheme="majorBidi" w:eastAsia="Cambria" w:eastAsiaTheme="majorEastAsia" w:hAnsi="Cambria" w:hAnsiTheme="majorHAnsi"/>
      <w:b/>
      <w:bCs/>
      <w:i w:val="0"/>
      <w:color w:val="6E1414"/>
      <w:sz w:val="28"/>
      <w:szCs w:val="26"/>
    </w:rPr>
  </w:style>
  <w:style w:styleId="Heading3" w:type="paragraph">
    <w:name w:val="heading 3"/>
    <w:basedOn w:val="Normal"/>
    <w:next w:val="Normal"/>
    <w:link w:val="Heading3Char"/>
    <w:uiPriority w:val="9"/>
    <w:unhideWhenUsed/>
    <w:qFormat/>
    <w:rsid w:val="00FC693F"/>
    <w:pPr>
      <w:keepNext/>
      <w:keepLines/>
      <w:spacing w:after="120" w:before="240" w:line="276" w:lineRule="auto"/>
      <w:outlineLvl w:val="2"/>
    </w:pPr>
    <w:rPr>
      <w:rFonts w:ascii="Cambria" w:asciiTheme="majorHAnsi" w:cs="Cambria" w:cstheme="majorBidi" w:eastAsia="Cambria" w:eastAsiaTheme="majorEastAsia" w:hAnsi="Cambria" w:hAnsiTheme="majorHAnsi"/>
      <w:b/>
      <w:bCs/>
      <w:i/>
      <w:color w:val="6E1414"/>
      <w:sz w:val="24"/>
    </w:rPr>
  </w:style>
  <w:style w:styleId="Heading4" w:type="paragraph">
    <w:name w:val="heading 4"/>
    <w:basedOn w:val="Normal"/>
    <w:next w:val="Normal"/>
    <w:link w:val="Heading4Char"/>
    <w:uiPriority w:val="9"/>
    <w:semiHidden/>
    <w:unhideWhenUsed/>
    <w:qFormat/>
    <w:rsid w:val="00FC693F"/>
    <w:pPr>
      <w:keepNext/>
      <w:keepLines/>
      <w:spacing w:after="80" w:before="200" w:line="276" w:lineRule="auto"/>
      <w:outlineLvl w:val="3"/>
    </w:pPr>
    <w:rPr>
      <w:rFonts w:ascii="Cambria" w:asciiTheme="majorHAnsi" w:cs="Cambria" w:cstheme="majorBidi" w:eastAsia="Cambria" w:eastAsiaTheme="majorEastAsia" w:hAnsi="Cambria" w:hAnsiTheme="majorHAnsi"/>
      <w:b/>
      <w:bCs/>
      <w:i/>
      <w:iCs/>
      <w:color w:val="6E1414"/>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76" w:lineRule="auto"/>
      <w:contextualSpacing/>
      <w:jc w:val="center"/>
    </w:pPr>
    <w:rPr>
      <w:rFonts w:ascii="Cambria" w:asciiTheme="majorHAnsi" w:cs="Cambria" w:cstheme="majorBidi" w:eastAsia="Cambria" w:eastAsiaTheme="majorEastAsia" w:hAnsi="Cambria" w:hAnsiTheme="majorHAnsi"/>
      <w:b/>
      <w:i w:val="0"/>
      <w:color w:val="6E141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before="0" w:line="276" w:lineRule="auto"/>
      <w:jc w:val="center"/>
    </w:pPr>
    <w:rPr>
      <w:rFonts w:ascii="Cambria" w:asciiTheme="majorHAnsi" w:cs="Cambria" w:cstheme="majorBidi" w:eastAsia="Cambria" w:eastAsiaTheme="majorEastAsia" w:hAnsi="Cambria" w:hAnsiTheme="majorHAnsi"/>
      <w:b w:val="0"/>
      <w:i/>
      <w:iCs/>
      <w:color w:val="6E1414"/>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88" w:lineRule="auto"/>
      <w:jc w:val="both"/>
    </w:pPr>
    <w:rPr>
      <w:rFonts w:ascii="Cambria" w:cs="Cambria" w:eastAsia="Cambria" w:hAnsi="Cambria"/>
      <w:b w:val="0"/>
      <w:i w:val="0"/>
      <w:color w:val="1A1A1A"/>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0" w:line="276" w:lineRule="auto"/>
      <w:jc w:val="both"/>
    </w:pPr>
    <w:rPr>
      <w:rFonts w:ascii="Cambria" w:cs="Cambria" w:eastAsia="Cambria" w:hAnsi="Cambria"/>
      <w:b w:val="0"/>
      <w:i/>
      <w:iCs/>
      <w:color w:val="1A1A1A"/>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0" w:line="276" w:lineRule="auto"/>
      <w:jc w:val="left"/>
    </w:pPr>
    <w:rPr>
      <w:rFonts w:ascii="Cambria" w:cs="Cambria" w:eastAsia="Cambria" w:hAnsi="Cambria"/>
      <w:b w:val="0"/>
      <w:bCs/>
      <w:i/>
      <w:color w:val="1A1A1A"/>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2026-06-11T19:17:32Z</dcterms:created>
  <dcterms:modified xsi:type="dcterms:W3CDTF">2026-06-11T19:17:32Z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provides curated samples and the open-source toolkit; the full annotated corpus partitions remain under v0.5 audit on the Greek national HPC. Quantitative scale, per-witness verse counts, and per- 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