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w:t>
      </w:r>
      <w:r>
        <w:t xml:space="preserve">“Athens-PROIEL”</w:t>
      </w:r>
      <w:r>
        <w:t xml:space="preserve">)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w:t>
      </w:r>
      <w:r>
        <w:t xml:space="preserve"> </w:t>
      </w:r>
      <w:r>
        <w:t xml:space="preserve">Old Church Slavonic (Marianus), and Classical Armenian. AthDGC builds on the</w:t>
      </w:r>
      <w:r>
        <w:t xml:space="preserve"> </w:t>
      </w:r>
      <w:r>
        <w:t xml:space="preserve">PROIEL Treebank Family</w:t>
      </w:r>
      <w:r>
        <w:t xml:space="preserve"> </w:t>
      </w:r>
      <w:r>
        <w:t xml:space="preserve">(Haug and Jøhndal 2008, 27–34; Eckhoff et al. 2018, 29–65)</w:t>
      </w:r>
      <w:r>
        <w:t xml:space="preserve">, which</w:t>
      </w:r>
      <w:r>
        <w:t xml:space="preserve"> </w:t>
      </w:r>
      <w:r>
        <w:t xml:space="preserve">established the schema and the Koine-Greek reference set for the project.</w:t>
      </w:r>
      <w:r>
        <w:t xml:space="preserve"> </w:t>
      </w:r>
      <w:r>
        <w:t xml:space="preserve">Annotation uses the Stanford Stanza PROIEL-trained workflow; sentence-level</w:t>
      </w:r>
      <w:r>
        <w:t xml:space="preserve"> </w:t>
      </w:r>
      <w:r>
        <w:t xml:space="preserve">alignment uses LaBSE, a multilingual sentence-embedding model; word-level</w:t>
      </w:r>
      <w:r>
        <w:t xml:space="preserve"> </w:t>
      </w:r>
      <w:r>
        <w:t xml:space="preserve">alignment uses multilingual-BERT attention through the AwesomeAlign procedure.</w:t>
      </w:r>
      <w:r>
        <w:t xml:space="preserve"> </w:t>
      </w:r>
      <w:r>
        <w:t xml:space="preserve">The v0.4 release ships curated samples and the open-source toolkit; the full</w:t>
      </w:r>
      <w:r>
        <w:t xml:space="preserve"> </w:t>
      </w:r>
      <w:r>
        <w:t xml:space="preserve">annotated corpus partitions remain under v0.5 audit on the Greek national HPC.</w:t>
      </w:r>
      <w:r>
        <w:t xml:space="preserve"> </w:t>
      </w:r>
      <w:r>
        <w:t xml:space="preserve">Quantitative scale, per-witness verse counts, and per-period annotated-row</w:t>
      </w:r>
      <w:r>
        <w:t xml:space="preserve"> </w:t>
      </w:r>
      <w:r>
        <w:t xml:space="preserve">counts are reported as the v0.5 release notes, after the audit pass completes.</w:t>
      </w:r>
    </w:p>
    <w:p>
      <w:pPr>
        <w:pStyle w:val="FirstParagraph"/>
      </w:pPr>
      <w: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t xml:space="preserve">https://doi.org/10.5281/zenodo.20439182</w:t>
      </w:r>
    </w:p>
    <w:bookmarkStart w:id="14"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w:t>
      </w:r>
      <w:r>
        <w:t xml:space="preserve"> </w:t>
      </w:r>
      <w:r>
        <w:rPr>
          <w:i/>
          <w:iCs/>
        </w:rPr>
        <w:t xml:space="preserve">Iliad</w:t>
      </w:r>
      <w:r>
        <w:t xml:space="preserve">,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w:t>
      </w:r>
      <w:r>
        <w:t xml:space="preserve"> </w:t>
      </w:r>
      <w:r>
        <w:t xml:space="preserve">(Haug and Jøhndal 2008, 27–34; Eckhoff et al. 2018, 29–65)</w:t>
      </w:r>
      <w:r>
        <w:t xml:space="preserve"> </w:t>
      </w:r>
      <w:r>
        <w:t xml:space="preserve">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w:t>
      </w:r>
      <w:r>
        <w:t xml:space="preserve"> </w:t>
      </w:r>
      <w:r>
        <w:rPr>
          <w:i/>
          <w:iCs/>
        </w:rPr>
        <w:t xml:space="preserve">who does what to whom</w:t>
      </w:r>
      <w:r>
        <w:t xml:space="preserve"> </w:t>
      </w:r>
      <w:r>
        <w:t xml:space="preserve">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w:t>
      </w:r>
      <w:r>
        <w:t xml:space="preserve"> </w:t>
      </w:r>
      <w:r>
        <w:rPr>
          <w:i/>
          <w:iCs/>
        </w:rPr>
        <w:t xml:space="preserve">retranslation</w:t>
      </w:r>
      <w:r>
        <w:t xml:space="preserve">: the same canonical text is re-rendered into Greek across periods (Homeric, Koine, Byzantine, Modern) and into sister languages (Latin, Gothic, Old Church Slavonic, Classical Armenian) across the Indo-European family. The platform records these re-renderings as a</w:t>
      </w:r>
      <w:r>
        <w:t xml:space="preserve"> </w:t>
      </w:r>
      <w:r>
        <w:rPr>
          <w:i/>
          <w:iCs/>
        </w:rPr>
        <w:t xml:space="preserve">retelling and retranslation chain</w:t>
      </w:r>
      <w:r>
        <w:t xml:space="preserve"> </w:t>
      </w:r>
      <w:r>
        <w:t xml:space="preserve">(see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w:t>
      </w:r>
      <w:r>
        <w:t xml:space="preserve"> </w:t>
      </w:r>
      <w:r>
        <w:rPr>
          <w:i/>
          <w:iCs/>
        </w:rPr>
        <w:t xml:space="preserve">Iliad</w:t>
      </w:r>
      <w:r>
        <w:t xml:space="preserve"> </w:t>
      </w:r>
      <w:r>
        <w:t xml:space="preserve">of 1955, and which collapse under the Byzantine epitome of Tzetzes.</w:t>
      </w:r>
    </w:p>
    <w:bookmarkEnd w:id="9"/>
    <w:bookmarkStart w:id="12" w:name="repository-location"/>
    <w:p>
      <w:pPr>
        <w:pStyle w:val="Heading3"/>
      </w:pPr>
      <w:r>
        <w:t xml:space="preserve">1.2 Repository location</w:t>
      </w:r>
    </w:p>
    <w:p>
      <w:pPr>
        <w:pStyle w:val="FirstParagraph"/>
      </w:pPr>
      <w:r>
        <w:t xml:space="preserve">The public showcase of the platform is hosted at</w:t>
      </w:r>
      <w:r>
        <w:t xml:space="preserve"> </w:t>
      </w:r>
      <w:hyperlink r:id="rId10">
        <w:r>
          <w:rPr>
            <w:rStyle w:val="Hyperlink"/>
          </w:rPr>
          <w:t xml:space="preserve">https://athdgc.github.io</w:t>
        </w:r>
      </w:hyperlink>
      <w:r>
        <w:t xml:space="preserve">, and the v0.4.0 source-code snapshot is permanently deposited on Zenodo (an open-access research-data repository operated by CERN, which mints persistent DOIs for each deposit) under concept DOI</w:t>
      </w:r>
      <w:r>
        <w:t xml:space="preserve"> </w:t>
      </w:r>
      <w:hyperlink r:id="rId11">
        <w:r>
          <w:rPr>
            <w:rStyle w:val="Hyperlink"/>
          </w:rPr>
          <w:t xml:space="preserve">10.5281/zenodo.20439182</w:t>
        </w:r>
      </w:hyperlink>
      <w:r>
        <w:t xml:space="preserve">. A concept DOI (a Digital Object Identifier that always resolves to the latest version of a deposited record) is the citation handle that does not change as the project versions advance; per-version DOIs are minted automatically on each release. The source repository</w:t>
      </w:r>
      <w:r>
        <w:t xml:space="preserve"> </w:t>
      </w:r>
      <w:r>
        <w:rPr>
          <w:rStyle w:val="VerbatimChar"/>
        </w:rPr>
        <w:t xml:space="preserve">AthDGC/Diachronic-Linguistics-Platform</w:t>
      </w:r>
      <w:r>
        <w:t xml:space="preserve"> </w:t>
      </w:r>
      <w:r>
        <w:t xml:space="preserve">on GitHub remains private during the v0.5 audit pass, and becomes public at the v0.5 release, when the consolidated</w:t>
      </w:r>
      <w:r>
        <w:t xml:space="preserve"> </w:t>
      </w:r>
      <w:r>
        <w:rPr>
          <w:rStyle w:val="VerbatimChar"/>
        </w:rPr>
        <w:t xml:space="preserve">tools/</w:t>
      </w:r>
      <w:r>
        <w:t xml:space="preserve"> </w:t>
      </w:r>
      <w:r>
        <w:t xml:space="preserve">directory and the verified annotated partitions are in place.</w:t>
      </w:r>
    </w:p>
    <w:bookmarkEnd w:id="12"/>
    <w:bookmarkStart w:id="13"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w:t>
      </w:r>
      <w:r>
        <w:t xml:space="preserve"> </w:t>
      </w:r>
      <w:r>
        <w:rPr>
          <w:rStyle w:val="VerbatimChar"/>
        </w:rPr>
        <w:t xml:space="preserve">pa260305</w:t>
      </w:r>
      <w:r>
        <w:t xml:space="preserve">.</w:t>
      </w:r>
    </w:p>
    <w:bookmarkEnd w:id="13"/>
    <w:bookmarkEnd w:id="14"/>
    <w:bookmarkStart w:id="21"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w:t>
      </w:r>
      <w:r>
        <w:t xml:space="preserve"> </w:t>
      </w:r>
      <w:r>
        <w:rPr>
          <w:i/>
          <w:iCs/>
        </w:rPr>
        <w:t xml:space="preserve">Iliad</w:t>
      </w:r>
      <w:r>
        <w:t xml:space="preserve">, μῆνιν ἄειδε θεὰ Πηληϊάδεω Ἀχιλῆος (</w:t>
      </w:r>
      <w:r>
        <w:t xml:space="preserve">“Wrath sing, goddess, of Peleiades Achilles”</w:t>
      </w:r>
      <w:r>
        <w:t xml:space="preserve">), so that the reader can follow the same sentence from raw input to a fully annotated and cross-aligned record.</w:t>
      </w:r>
    </w:p>
    <w:bookmarkStart w:id="15"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w:t>
      </w:r>
      <w:r>
        <w:t xml:space="preserve"> </w:t>
      </w:r>
      <w:r>
        <w:rPr>
          <w:i/>
          <w:iCs/>
        </w:rPr>
        <w:t xml:space="preserve">Iliad</w:t>
      </w:r>
      <w:r>
        <w:t xml:space="preserve"> </w:t>
      </w:r>
      <w:r>
        <w:t xml:space="preserve">worked example, the discovery stage retrieves the Homeric text from the Perseus Digital Library through its CTS URN (Canonical Text Services Uniform Resource Name, a standard identifier scheme used by classical-text repositories for referring to a specific edition of a specific work),</w:t>
      </w:r>
      <w:r>
        <w:t xml:space="preserve"> </w:t>
      </w:r>
      <w:r>
        <w:rPr>
          <w:rStyle w:val="VerbatimChar"/>
        </w:rPr>
        <w:t xml:space="preserve">urn:cts:greekLit:tlg0012.tlg001</w:t>
      </w:r>
      <w:r>
        <w:t xml:space="preserve">, together with the Kakridis-Kazantzakis 1955 prose translation, mirrored on Wikisource, and the Tzetzes Byzantine epitome from Bibliotheca Augustana.</w:t>
      </w:r>
    </w:p>
    <w:bookmarkEnd w:id="15"/>
    <w:bookmarkStart w:id="16"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audit logs are kept in the project’s internal working tree, and the v0.5 release notes will report per-archive rejection statistics.</w:t>
      </w:r>
    </w:p>
    <w:bookmarkEnd w:id="16"/>
    <w:bookmarkStart w:id="17"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rPr>
          <w:rStyle w:val="VerbatimChar"/>
        </w:rPr>
        <w:t xml:space="preserve">&lt;sentence&gt;</w:t>
      </w:r>
      <w:r>
        <w:t xml:space="preserve"> </w:t>
      </w:r>
      <w:r>
        <w:t xml:space="preserve">element, each token wrapped in a</w:t>
      </w:r>
      <w:r>
        <w:t xml:space="preserve"> </w:t>
      </w:r>
      <w:r>
        <w:rPr>
          <w:rStyle w:val="VerbatimChar"/>
        </w:rPr>
        <w:t xml:space="preserve">&lt;token&gt;</w:t>
      </w:r>
      <w:r>
        <w:t xml:space="preserve"> </w:t>
      </w:r>
      <w:r>
        <w:t xml:space="preserve">element, and every token carrying attributes for its form, lemma, part-of-speech tag (</w:t>
      </w:r>
      <w:r>
        <w:rPr>
          <w:rStyle w:val="VerbatimChar"/>
        </w:rPr>
        <w:t xml:space="preserve">pos</w:t>
      </w:r>
      <w:r>
        <w:t xml:space="preserve">), ten-character morphological tag (</w:t>
      </w:r>
      <w:r>
        <w:rPr>
          <w:rStyle w:val="VerbatimChar"/>
        </w:rPr>
        <w:t xml:space="preserve">morphology</w:t>
      </w:r>
      <w:r>
        <w:t xml:space="preserve">), syntactic head identifier (</w:t>
      </w:r>
      <w:r>
        <w:rPr>
          <w:rStyle w:val="VerbatimChar"/>
        </w:rPr>
        <w:t xml:space="preserve">head-id</w:t>
      </w:r>
      <w:r>
        <w:t xml:space="preserve">), and dependency relation to that head (</w:t>
      </w:r>
      <w:r>
        <w:rPr>
          <w:rStyle w:val="VerbatimChar"/>
        </w:rPr>
        <w:t xml:space="preserve">relation</w:t>
      </w:r>
      <w:r>
        <w:t xml:space="preserve">). For the worked example, the conversion stage produces a</w:t>
      </w:r>
      <w:r>
        <w:t xml:space="preserve"> </w:t>
      </w:r>
      <w:r>
        <w:rPr>
          <w:rStyle w:val="VerbatimChar"/>
        </w:rPr>
        <w:t xml:space="preserve">&lt;sentence&gt;</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7"/>
    <w:bookmarkStart w:id="18" w:name="annotation"/>
    <w:p>
      <w:pPr>
        <w:pStyle w:val="Heading3"/>
      </w:pPr>
      <w:r>
        <w:t xml:space="preserve">2.4 Annotation</w:t>
      </w:r>
    </w:p>
    <w:p>
      <w:pPr>
        <w:pStyle w:val="FirstParagraph"/>
      </w:pPr>
      <w:r>
        <w:t xml:space="preserve">Annotation is performed sentence by sentence with the Stanford Stanza processor</w:t>
      </w:r>
      <w:r>
        <w:t xml:space="preserve"> </w:t>
      </w:r>
      <w:r>
        <w:t xml:space="preserve">(Qi et al. 2020, 101–8)</w:t>
      </w:r>
      <w:r>
        <w:t xml:space="preserve">. Stanza (Stanford’s open-source Python toolkit for automatic linguistic annotation, which performs tokenisation, lemmatisation, part-of-speech tagging, morphological analysis, and dependency parsing in a single workflow) ships PROIEL-trained models for several of the older Indo-European languages:</w:t>
      </w:r>
      <w:r>
        <w:t xml:space="preserve"> </w:t>
      </w:r>
      <w:r>
        <w:rPr>
          <w:rStyle w:val="VerbatimChar"/>
        </w:rPr>
        <w:t xml:space="preserve">grc_proiel</w:t>
      </w:r>
      <w:r>
        <w:t xml:space="preserve"> </w:t>
      </w:r>
      <w:r>
        <w:t xml:space="preserve">for Koine Greek,</w:t>
      </w:r>
      <w:r>
        <w:t xml:space="preserve"> </w:t>
      </w:r>
      <w:r>
        <w:rPr>
          <w:rStyle w:val="VerbatimChar"/>
        </w:rPr>
        <w:t xml:space="preserve">la_proiel</w:t>
      </w:r>
      <w:r>
        <w:t xml:space="preserve"> </w:t>
      </w:r>
      <w:r>
        <w:t xml:space="preserve">for Latin,</w:t>
      </w:r>
      <w:r>
        <w:t xml:space="preserve"> </w:t>
      </w:r>
      <w:r>
        <w:rPr>
          <w:rStyle w:val="VerbatimChar"/>
        </w:rPr>
        <w:t xml:space="preserve">cu_proiel</w:t>
      </w:r>
      <w:r>
        <w:t xml:space="preserve"> </w:t>
      </w:r>
      <w:r>
        <w:t xml:space="preserve">for Old Church Slavonic, and</w:t>
      </w:r>
      <w:r>
        <w:t xml:space="preserve"> </w:t>
      </w:r>
      <w:r>
        <w:rPr>
          <w:rStyle w:val="VerbatimChar"/>
        </w:rPr>
        <w:t xml:space="preserve">got_proiel</w:t>
      </w:r>
      <w:r>
        <w:t xml:space="preserve"> </w:t>
      </w:r>
      <w:r>
        <w:t xml:space="preserve">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w:t>
      </w:r>
      <w:r>
        <w:t xml:space="preserve"> </w:t>
      </w:r>
      <w:r>
        <w:rPr>
          <w:rStyle w:val="VerbatimChar"/>
        </w:rPr>
        <w:t xml:space="preserve">Nb</w:t>
      </w:r>
      <w:r>
        <w:t xml:space="preserve">, morphology</w:t>
      </w:r>
      <w:r>
        <w:t xml:space="preserve"> </w:t>
      </w:r>
      <w:r>
        <w:rPr>
          <w:rStyle w:val="VerbatimChar"/>
        </w:rPr>
        <w:t xml:space="preserve">Nb-s---fa-</w:t>
      </w:r>
      <w:r>
        <w:t xml:space="preserve"> </w:t>
      </w:r>
      <w:r>
        <w:t xml:space="preserve">(a noun, singular, feminine, accusative), head identifier 2, and relation</w:t>
      </w:r>
      <w:r>
        <w:t xml:space="preserve"> </w:t>
      </w:r>
      <w:r>
        <w:rPr>
          <w:rStyle w:val="VerbatimChar"/>
        </w:rPr>
        <w:t xml:space="preserve">obj</w:t>
      </w:r>
      <w:r>
        <w:t xml:space="preserve"> </w:t>
      </w:r>
      <w:r>
        <w:t xml:space="preserve">(direct object). The verb ἄειδε receives lemma ἀείδω, part-of-speech</w:t>
      </w:r>
      <w:r>
        <w:t xml:space="preserve"> </w:t>
      </w:r>
      <w:r>
        <w:rPr>
          <w:rStyle w:val="VerbatimChar"/>
        </w:rPr>
        <w:t xml:space="preserve">V-</w:t>
      </w:r>
      <w:r>
        <w:t xml:space="preserve">, morphology</w:t>
      </w:r>
      <w:r>
        <w:t xml:space="preserve"> </w:t>
      </w:r>
      <w:r>
        <w:rPr>
          <w:rStyle w:val="VerbatimChar"/>
        </w:rPr>
        <w:t xml:space="preserve">V-spia---</w:t>
      </w:r>
      <w:r>
        <w:t xml:space="preserve"> </w:t>
      </w:r>
      <w:r>
        <w:t xml:space="preserve">(verb, second person singular, present, imperative, active), head identifier 0 (sentence root), and relation</w:t>
      </w:r>
      <w:r>
        <w:t xml:space="preserve"> </w:t>
      </w:r>
      <w:r>
        <w:rPr>
          <w:rStyle w:val="VerbatimChar"/>
        </w:rPr>
        <w:t xml:space="preserve">pred</w:t>
      </w:r>
      <w:r>
        <w:t xml:space="preserve"> </w:t>
      </w:r>
      <w:r>
        <w:t xml:space="preserve">(predicate).</w:t>
      </w:r>
    </w:p>
    <w:bookmarkEnd w:id="18"/>
    <w:bookmarkStart w:id="19"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w:t>
      </w:r>
      <w:r>
        <w:rPr>
          <w:rStyle w:val="VerbatimChar"/>
        </w:rPr>
        <w:t xml:space="preserve">sub</w:t>
      </w:r>
      <w:r>
        <w:t xml:space="preserve">, including the raised patterns</w:t>
      </w:r>
      <w:r>
        <w:t xml:space="preserve"> </w:t>
      </w:r>
      <w:r>
        <w:rPr>
          <w:rStyle w:val="VerbatimChar"/>
        </w:rPr>
        <w:t xml:space="preserve">xobj</w:t>
      </w:r>
      <w:r>
        <w:t xml:space="preserve"> </w:t>
      </w:r>
      <w:r>
        <w:t xml:space="preserve">for raising objects and</w:t>
      </w:r>
      <w:r>
        <w:t xml:space="preserve"> </w:t>
      </w:r>
      <w:r>
        <w:rPr>
          <w:rStyle w:val="VerbatimChar"/>
        </w:rPr>
        <w:t xml:space="preserve">nonsub</w:t>
      </w:r>
      <w:r>
        <w:t xml:space="preserve"> </w:t>
      </w:r>
      <w:r>
        <w:t xml:space="preserve">for non-subject controllers), the direct object (</w:t>
      </w:r>
      <w:r>
        <w:rPr>
          <w:rStyle w:val="VerbatimChar"/>
        </w:rPr>
        <w:t xml:space="preserve">obj</w:t>
      </w:r>
      <w:r>
        <w:t xml:space="preserve">), the indirect and oblique arguments (</w:t>
      </w:r>
      <w:r>
        <w:rPr>
          <w:rStyle w:val="VerbatimChar"/>
        </w:rPr>
        <w:t xml:space="preserve">iobj</w:t>
      </w:r>
      <w:r>
        <w:t xml:space="preserve"> </w:t>
      </w:r>
      <w:r>
        <w:t xml:space="preserve">for indirect object,</w:t>
      </w:r>
      <w:r>
        <w:t xml:space="preserve"> </w:t>
      </w:r>
      <w:r>
        <w:rPr>
          <w:rStyle w:val="VerbatimChar"/>
        </w:rPr>
        <w:t xml:space="preserve">obl</w:t>
      </w:r>
      <w:r>
        <w:t xml:space="preserve"> </w:t>
      </w:r>
      <w:r>
        <w:t xml:space="preserve">for oblique), the vocative addressee (</w:t>
      </w:r>
      <w:r>
        <w:rPr>
          <w:rStyle w:val="VerbatimChar"/>
        </w:rPr>
        <w:t xml:space="preserve">voc</w:t>
      </w:r>
      <w:r>
        <w:t xml:space="preserve">), the voice (active, middle, or passive), and the aspect (perfective or imperfective). For the worked example, the verb ἄειδε receives the frame</w:t>
      </w:r>
      <w:r>
        <w:t xml:space="preserve"> </w:t>
      </w:r>
      <w:r>
        <w:rPr>
          <w:rStyle w:val="VerbatimChar"/>
        </w:rPr>
        <w:t xml:space="preserve">[sub:imp.2sg, obj:μῆνιν(acc.sg.f), voc:θεὰ(voc.sg.f), voice:active, aspect:imperfective]</w:t>
      </w:r>
      <w:r>
        <w:t xml:space="preserve">. This frame is the unit on which downstream queries operate: a diachronic researcher can ask, for instance,</w:t>
      </w:r>
      <w:r>
        <w:t xml:space="preserve"> </w:t>
      </w:r>
      <w:r>
        <w:rPr>
          <w:i/>
          <w:iCs/>
        </w:rPr>
        <w:t xml:space="preserve">across the Iliad reception, does the verb of singing retain its direct-object case-marking through the Byzantine epitome and the Modern Greek prose translation, or does it switch to a prepositional phrase?</w:t>
      </w:r>
      <w:r>
        <w:t xml:space="preserve"> </w:t>
      </w:r>
      <w:r>
        <w:t xml:space="preserve">and receive an answer that does not require manual re-reading of the texts.</w:t>
      </w:r>
    </w:p>
    <w:bookmarkEnd w:id="19"/>
    <w:bookmarkStart w:id="20" w:name="cross-lingual-alignment"/>
    <w:p>
      <w:pPr>
        <w:pStyle w:val="Heading3"/>
      </w:pPr>
      <w:r>
        <w:t xml:space="preserve">2.6 Cross-lingual alignment</w:t>
      </w:r>
    </w:p>
    <w:p>
      <w:pPr>
        <w:pStyle w:val="FirstParagraph"/>
      </w:pPr>
      <w:r>
        <w:t xml:space="preserve">Sentence-level alignment uses LaBSE embeddings</w:t>
      </w:r>
      <w:r>
        <w:t xml:space="preserve"> </w:t>
      </w:r>
      <w:r>
        <w:t xml:space="preserve">(Feng et al. 2022, 878–91)</w:t>
      </w:r>
      <w:r>
        <w:t xml:space="preserve">.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20"/>
    <w:bookmarkEnd w:id="21"/>
    <w:bookmarkStart w:id="30"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rPr>
                <w:rStyle w:val="VerbatimChar"/>
              </w:rPr>
              <w:t xml:space="preserve">grc</w:t>
            </w:r>
            <w:r>
              <w:t xml:space="preserve"> </w:t>
            </w:r>
            <w:r>
              <w:t xml:space="preserve">(Ancient Greek),</w:t>
            </w:r>
            <w:r>
              <w:t xml:space="preserve"> </w:t>
            </w:r>
            <w:r>
              <w:rPr>
                <w:rStyle w:val="VerbatimChar"/>
              </w:rPr>
              <w:t xml:space="preserve">gkm</w:t>
            </w:r>
            <w:r>
              <w:t xml:space="preserve"> </w:t>
            </w:r>
            <w:r>
              <w:t xml:space="preserve">(Medieval Greek),</w:t>
            </w:r>
            <w:r>
              <w:t xml:space="preserve"> </w:t>
            </w:r>
            <w:r>
              <w:rPr>
                <w:rStyle w:val="VerbatimChar"/>
              </w:rPr>
              <w:t xml:space="preserve">ell</w:t>
            </w:r>
            <w:r>
              <w:t xml:space="preserve"> </w:t>
            </w:r>
            <w:r>
              <w:t xml:space="preserve">(Modern Greek), with parallels in</w:t>
            </w:r>
            <w:r>
              <w:t xml:space="preserve"> </w:t>
            </w:r>
            <w:r>
              <w:rPr>
                <w:rStyle w:val="VerbatimChar"/>
              </w:rPr>
              <w:t xml:space="preserve">lat</w:t>
            </w:r>
            <w:r>
              <w:t xml:space="preserve">,</w:t>
            </w:r>
            <w:r>
              <w:t xml:space="preserve"> </w:t>
            </w:r>
            <w:r>
              <w:rPr>
                <w:rStyle w:val="VerbatimChar"/>
              </w:rPr>
              <w:t xml:space="preserve">got</w:t>
            </w:r>
            <w:r>
              <w:t xml:space="preserve">,</w:t>
            </w:r>
            <w:r>
              <w:t xml:space="preserve"> </w:t>
            </w:r>
            <w:r>
              <w:rPr>
                <w:rStyle w:val="VerbatimChar"/>
              </w:rPr>
              <w:t xml:space="preserve">chu</w:t>
            </w:r>
            <w:r>
              <w:t xml:space="preserve">,</w:t>
            </w:r>
            <w:r>
              <w:t xml:space="preserve"> </w:t>
            </w:r>
            <w:r>
              <w:rPr>
                <w:rStyle w:val="VerbatimChar"/>
              </w:rPr>
              <w:t xml:space="preserve">xcl</w:t>
            </w:r>
            <w:r>
              <w:t xml:space="preserve">; queued for v0.7:</w:t>
            </w:r>
            <w:r>
              <w:t xml:space="preserve"> </w:t>
            </w:r>
            <w:r>
              <w:rPr>
                <w:rStyle w:val="VerbatimChar"/>
              </w:rPr>
              <w:t xml:space="preserve">san</w:t>
            </w:r>
            <w:r>
              <w:t xml:space="preserve">,</w:t>
            </w:r>
            <w:r>
              <w:t xml:space="preserve"> </w:t>
            </w:r>
            <w:r>
              <w:rPr>
                <w:rStyle w:val="VerbatimChar"/>
              </w:rPr>
              <w:t xml:space="preserve">ang</w:t>
            </w:r>
            <w:r>
              <w:t xml:space="preserve">,</w:t>
            </w:r>
            <w:r>
              <w:t xml:space="preserve"> </w:t>
            </w:r>
            <w:r>
              <w:rPr>
                <w:rStyle w:val="VerbatimChar"/>
              </w:rPr>
              <w:t xml:space="preserve">ave</w:t>
            </w:r>
            <w:r>
              <w:t xml:space="preserve">,</w:t>
            </w:r>
            <w:r>
              <w:t xml:space="preserve"> </w:t>
            </w:r>
            <w:r>
              <w:rPr>
                <w:rStyle w:val="VerbatimChar"/>
              </w:rPr>
              <w:t xml:space="preserve">peo</w:t>
            </w:r>
            <w:r>
              <w:t xml:space="preserve">,</w:t>
            </w:r>
            <w:r>
              <w:t xml:space="preserve"> </w:t>
            </w:r>
            <w:r>
              <w:rPr>
                <w:rStyle w:val="VerbatimChar"/>
              </w:rPr>
              <w:t xml:space="preserve">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rPr>
                <w:rStyle w:val="VerbatimChar"/>
              </w:rPr>
              <w:t xml:space="preserve">AthDGC/Diachronic-Linguistics-Platform</w:t>
            </w:r>
            <w:r>
              <w:t xml:space="preserve"> </w:t>
            </w:r>
            <w:r>
              <w:t xml:space="preserve">on GitHub (private during v0.5 audit; public at v0.5)</w:t>
            </w:r>
          </w:p>
        </w:tc>
      </w:tr>
      <w:tr>
        <w:tc>
          <w:tcPr/>
          <w:p>
            <w:pPr>
              <w:pStyle w:val="Compact"/>
            </w:pPr>
            <w:r>
              <w:t xml:space="preserve">Concept DOI</w:t>
            </w:r>
          </w:p>
        </w:tc>
        <w:tc>
          <w:tcPr/>
          <w:p>
            <w:pPr>
              <w:pStyle w:val="Compact"/>
            </w:pPr>
            <w:hyperlink r:id="rId11">
              <w:r>
                <w:rPr>
                  <w:rStyle w:val="Hyperlink"/>
                </w:rPr>
                <w:t xml:space="preserve">10.5281/zenodo.20439182</w:t>
              </w:r>
            </w:hyperlink>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ship at v0.5</w:t>
            </w:r>
          </w:p>
        </w:tc>
      </w:tr>
    </w:tbl>
    <w:bookmarkStart w:id="24"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2"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2"/>
    <w:bookmarkStart w:id="23"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3"/>
    <w:bookmarkEnd w:id="24"/>
    <w:bookmarkStart w:id="25"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rPr>
                <w:rStyle w:val="VerbatimChar"/>
              </w:rP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rPr>
                <w:rStyle w:val="VerbatimChar"/>
              </w:rP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rPr>
                <w:rStyle w:val="VerbatimChar"/>
              </w:rP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rPr>
                <w:rStyle w:val="VerbatimChar"/>
              </w:rP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rPr>
                <w:rStyle w:val="VerbatimChar"/>
              </w:rPr>
              <w:t xml:space="preserve">xcl_proiel</w:t>
            </w:r>
            <w:r>
              <w:t xml:space="preserve"> </w:t>
            </w:r>
            <w:r>
              <w:t xml:space="preserve">(in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rPr>
                <w:rStyle w:val="VerbatimChar"/>
              </w:rPr>
              <w:t xml:space="preserve">sa_vedic</w:t>
            </w:r>
            <w:r>
              <w:t xml:space="preserve"> </w:t>
            </w:r>
            <w:r>
              <w:t xml:space="preserve">(queued)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rPr>
                <w:rStyle w:val="VerbatimChar"/>
              </w:rPr>
              <w:t xml:space="preserve">ang_proiel</w:t>
            </w:r>
            <w:r>
              <w:t xml:space="preserve"> </w:t>
            </w:r>
            <w:r>
              <w:t xml:space="preserve">(queued)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rPr>
                <w:rStyle w:val="VerbatimChar"/>
              </w:rPr>
              <w:t xml:space="preserve">ae_proiel</w:t>
            </w:r>
            <w:r>
              <w:t xml:space="preserve"> </w:t>
            </w:r>
            <w:r>
              <w:t xml:space="preserve">(queued)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rPr>
                <w:rStyle w:val="VerbatimChar"/>
              </w:rPr>
              <w:t xml:space="preserve">peo_proiel</w:t>
            </w:r>
            <w:r>
              <w:t xml:space="preserve"> </w:t>
            </w:r>
            <w:r>
              <w:t xml:space="preserve">(queued)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rPr>
                <w:rStyle w:val="VerbatimChar"/>
              </w:rPr>
              <w:t xml:space="preserve">uk_dep</w:t>
            </w:r>
            <w:r>
              <w:t xml:space="preserve"> </w:t>
            </w:r>
            <w:r>
              <w:t xml:space="preserve">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ship in the v0.5 release notes once the ARIS audit pass closes. Accordingly, the v0.4 release ships the curated samples on the Samples page rather than full per-witness counts.</w:t>
      </w:r>
    </w:p>
    <w:bookmarkEnd w:id="25"/>
    <w:bookmarkStart w:id="26"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w:t>
      </w:r>
      <w:r>
        <w:t xml:space="preserve"> </w:t>
      </w:r>
      <w:r>
        <w:rPr>
          <w:i/>
          <w:iCs/>
        </w:rPr>
        <w:t xml:space="preserve">Iliad</w:t>
      </w:r>
      <w:r>
        <w:t xml:space="preserve"> </w:t>
      </w:r>
      <w:r>
        <w:t xml:space="preserve">1.1 across reception (Homer, Tzetzes, Kazantzakis), the Septuagint Psalm 1:1 across Greek periods, the New Testament John 1:1 patristic and Modern reception, the Plato</w:t>
      </w:r>
      <w:r>
        <w:t xml:space="preserve"> </w:t>
      </w:r>
      <w:r>
        <w:rPr>
          <w:i/>
          <w:iCs/>
        </w:rPr>
        <w:t xml:space="preserve">Apology</w:t>
      </w:r>
      <w:r>
        <w:t xml:space="preserve"> </w:t>
      </w:r>
      <w:r>
        <w:t xml:space="preserve">17a across reception, and the Septuagint Genesis 1:1 across four Indo-European languages. We present the</w:t>
      </w:r>
      <w:r>
        <w:t xml:space="preserve"> </w:t>
      </w:r>
      <w:r>
        <w:rPr>
          <w:i/>
          <w:iCs/>
        </w:rPr>
        <w:t xml:space="preserve">Iliad</w:t>
      </w:r>
      <w:r>
        <w:t xml:space="preserve"> </w:t>
      </w:r>
      <w:r>
        <w:t xml:space="preserve">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w:t>
      </w:r>
      <w:r>
        <w:rPr>
          <w:rStyle w:val="VerbatimChar"/>
        </w:rPr>
        <w:t xml:space="preserve">obj</w:t>
      </w:r>
      <w:r>
        <w:t xml:space="preserve">, accusative singular feminine), ἄειδε the predicate (imperative second person singular, active, imperfective), θεὰ the vocative addressee (</w:t>
      </w:r>
      <w:r>
        <w:rPr>
          <w:rStyle w:val="VerbatimChar"/>
        </w:rPr>
        <w:t xml:space="preserve">voc</w:t>
      </w:r>
      <w:r>
        <w:t xml:space="preserve">), and the genitive pair Πηληϊάδεω Ἀχιλῆος a coordinated attribute (</w:t>
      </w:r>
      <w:r>
        <w:rPr>
          <w:rStyle w:val="VerbatimChar"/>
        </w:rPr>
        <w:t xml:space="preserve">atr</w:t>
      </w:r>
      <w:r>
        <w:t xml:space="preserve">) hanging from the object noun. The argument-structure frame of the verb is</w:t>
      </w:r>
      <w:r>
        <w:t xml:space="preserve"> </w:t>
      </w:r>
      <w:r>
        <w:rPr>
          <w:rStyle w:val="VerbatimChar"/>
        </w:rPr>
        <w:t xml:space="preserve">[sub:imp.2sg, obj:μῆνιν, voc:θεὰ, voice:active, aspect:imperfective]</w:t>
      </w:r>
      <w:r>
        <w:t xml:space="preserve">, and the frame signature</w:t>
      </w:r>
      <w:r>
        <w:t xml:space="preserve"> </w:t>
      </w:r>
      <w:r>
        <w:rPr>
          <w:rStyle w:val="VerbatimChar"/>
        </w:rPr>
        <w:t xml:space="preserve">[obj:acc, voc:voc]</w:t>
      </w:r>
      <w:r>
        <w:t xml:space="preserve"> </w:t>
      </w:r>
      <w:r>
        <w:t xml:space="preserve">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w:t>
      </w:r>
      <w:r>
        <w:t xml:space="preserve"> </w:t>
      </w:r>
      <w:r>
        <w:rPr>
          <w:rStyle w:val="VerbatimChar"/>
        </w:rPr>
        <w:t xml:space="preserve">[obj:acc, voc:voc]</w:t>
      </w:r>
      <w:r>
        <w:t xml:space="preserve"> </w:t>
      </w:r>
      <w:r>
        <w:t xml:space="preserve">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w:t>
      </w:r>
      <w:r>
        <w:t xml:space="preserve"> </w:t>
      </w:r>
      <w:r>
        <w:rPr>
          <w:i/>
          <w:iCs/>
        </w:rPr>
        <w:t xml:space="preserve">Iliad</w:t>
      </w:r>
      <w:r>
        <w:t xml:space="preserve">. Under AthDGC annotation, the wrath remains a direct object in the Modern Greek accusative, the vocative of the goddess is restored, and the verb of singing returns. The characteristic frame</w:t>
      </w:r>
      <w:r>
        <w:t xml:space="preserve"> </w:t>
      </w:r>
      <w:r>
        <w:rPr>
          <w:rStyle w:val="VerbatimChar"/>
        </w:rPr>
        <w:t xml:space="preserve">[obj:acc, voc:voc]</w:t>
      </w:r>
      <w:r>
        <w:t xml:space="preserve"> </w:t>
      </w:r>
      <w:r>
        <w:t xml:space="preserve">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w:t>
      </w:r>
      <w:r>
        <w:t xml:space="preserve"> </w:t>
      </w:r>
      <w:r>
        <w:rPr>
          <w:rStyle w:val="VerbatimChar"/>
        </w:rPr>
        <w:t xml:space="preserve">frame-stability(Iliad 1.1, Homer, Modern)</w:t>
      </w:r>
      <w:r>
        <w:t xml:space="preserve">.</w:t>
      </w:r>
    </w:p>
    <w:p>
      <w:pPr>
        <w:pStyle w:val="BodyText"/>
      </w:pPr>
      <w:r>
        <w:t xml:space="preserve">The Septuagint Psalm 1:1 retranslation chain shows the inverse pattern, namely the stability of</w:t>
      </w:r>
      <w:r>
        <w:t xml:space="preserve"> </w:t>
      </w:r>
      <w:r>
        <w:rPr>
          <w:rStyle w:val="VerbatimChar"/>
        </w:rPr>
        <w:t xml:space="preserve">pred-nom + sub + atr.rel-cl</w:t>
      </w:r>
      <w:r>
        <w:t xml:space="preserve"> </w:t>
      </w:r>
      <w:r>
        <w:t xml:space="preserve">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w:t>
      </w:r>
      <w:r>
        <w:t xml:space="preserve"> </w:t>
      </w:r>
      <w:r>
        <w:rPr>
          <w:rStyle w:val="VerbatimChar"/>
        </w:rPr>
        <w:t xml:space="preserve">xcomp</w:t>
      </w:r>
      <w:r>
        <w:t xml:space="preserve"> </w:t>
      </w:r>
      <w:r>
        <w:t xml:space="preserve">of φησίν (</w:t>
      </w:r>
      <w:r>
        <w:t xml:space="preserve">“he says”</w:t>
      </w:r>
      <w:r>
        <w:t xml:space="preserve">), which is a structural reflex of the Late-Antique commentary register. The Plato</w:t>
      </w:r>
      <w:r>
        <w:t xml:space="preserve"> </w:t>
      </w:r>
      <w:r>
        <w:rPr>
          <w:i/>
          <w:iCs/>
        </w:rPr>
        <w:t xml:space="preserve">Apology</w:t>
      </w:r>
      <w:r>
        <w:t xml:space="preserve"> </w:t>
      </w:r>
      <w:r>
        <w:t xml:space="preserve">17a chain shows the preservation of the</w:t>
      </w:r>
      <w:r>
        <w:t xml:space="preserve"> </w:t>
      </w:r>
      <w:r>
        <w:rPr>
          <w:rStyle w:val="VerbatimChar"/>
        </w:rPr>
        <w:t xml:space="preserve">pred + adv:neg + comp[sub, obl]</w:t>
      </w:r>
      <w:r>
        <w:t xml:space="preserve"> </w:t>
      </w:r>
      <w:r>
        <w:t xml:space="preserve">pattern across the Plato-to-Modern path, with the perfect aspect alternating between the synthetic Classical form and the analytic Modern Greek auxiliary plus participle. The Septuagint Genesis 1:1 cross-IE chain shows the stability of the</w:t>
      </w:r>
      <w:r>
        <w:t xml:space="preserve"> </w:t>
      </w:r>
      <w:r>
        <w:rPr>
          <w:rStyle w:val="VerbatimChar"/>
        </w:rPr>
        <w:t xml:space="preserve">pred + sub + obl/adv + obj + coord</w:t>
      </w:r>
      <w:r>
        <w:t xml:space="preserve"> </w:t>
      </w:r>
      <w:r>
        <w:t xml:space="preserve">pattern across the Greek, Latin Vulgate, Gothic Wulfila, and Old Church Slavonic Marianus nodes, with only the</w:t>
      </w:r>
      <w:r>
        <w:t xml:space="preserve"> </w:t>
      </w:r>
      <w:r>
        <w:rPr>
          <w:rStyle w:val="VerbatimChar"/>
        </w:rPr>
        <w:t xml:space="preserve">obl</w:t>
      </w:r>
      <w:r>
        <w:t xml:space="preserve"> </w:t>
      </w:r>
      <w:r>
        <w:t xml:space="preserve">and</w:t>
      </w:r>
      <w:r>
        <w:t xml:space="preserve"> </w:t>
      </w:r>
      <w:r>
        <w:rPr>
          <w:rStyle w:val="VerbatimChar"/>
        </w:rPr>
        <w:t xml:space="preserve">adv</w:t>
      </w:r>
      <w:r>
        <w:t xml:space="preserve"> </w:t>
      </w:r>
      <w:r>
        <w:t xml:space="preserve">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6"/>
    <w:bookmarkStart w:id="29"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working in the project’s internal pack and migrating to a unified public</w:t>
      </w:r>
      <w:r>
        <w:t xml:space="preserve"> </w:t>
      </w:r>
      <w:r>
        <w:rPr>
          <w:rStyle w:val="VerbatimChar"/>
        </w:rPr>
        <w:t xml:space="preserve">tools/</w:t>
      </w:r>
      <w:r>
        <w:t xml:space="preserve"> </w:t>
      </w:r>
      <w:r>
        <w:t xml:space="preserve">directory at v0.5, namely the PROIEL XML 2.0 schema validator (which enforces the relation inventory and rejects UD-style labels such as</w:t>
      </w:r>
      <w:r>
        <w:t xml:space="preserve"> </w:t>
      </w:r>
      <w:r>
        <w:rPr>
          <w:rStyle w:val="VerbatimChar"/>
        </w:rPr>
        <w:t xml:space="preserve">nsubj</w:t>
      </w:r>
      <w:r>
        <w:t xml:space="preserve"> </w:t>
      </w:r>
      <w:r>
        <w:t xml:space="preserve">and</w:t>
      </w:r>
      <w:r>
        <w:t xml:space="preserve"> </w:t>
      </w:r>
      <w:r>
        <w:rPr>
          <w:rStyle w:val="VerbatimChar"/>
        </w:rPr>
        <w:t xml:space="preserve">dobj</w:t>
      </w:r>
      <w:r>
        <w:t xml:space="preserve">; UD here is Universal Dependencies, the alternative treebanking framework whose label inventory is incompatible with PROIEL), the house-style check, the argument-frame extractor, the Stanza fine-tuning scripts, the</w:t>
      </w:r>
      <w:r>
        <w:t xml:space="preserve"> </w:t>
      </w:r>
      <w:r>
        <w:rPr>
          <w:rStyle w:val="VerbatimChar"/>
        </w:rPr>
        <w:t xml:space="preserve">athdgc-tools</w:t>
      </w:r>
      <w:r>
        <w:t xml:space="preserve"> </w:t>
      </w:r>
      <w:r>
        <w:t xml:space="preserve">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w:t>
      </w:r>
      <w:r>
        <w:t xml:space="preserve"> </w:t>
      </w:r>
      <w:hyperlink r:id="rId27">
        <w:r>
          <w:rPr>
            <w:rStyle w:val="Hyperlink"/>
          </w:rPr>
          <w:t xml:space="preserve">https://athdgc.github.io/tools.html</w:t>
        </w:r>
      </w:hyperlink>
      <w:r>
        <w:t xml:space="preserve"> </w:t>
      </w:r>
      <w:r>
        <w:t xml:space="preserve">and on the Status page at</w:t>
      </w:r>
      <w:r>
        <w:t xml:space="preserve"> </w:t>
      </w:r>
      <w:hyperlink r:id="rId28">
        <w:r>
          <w:rPr>
            <w:rStyle w:val="Hyperlink"/>
          </w:rPr>
          <w:t xml:space="preserve">https://athdgc.github.io/status.html</w:t>
        </w:r>
      </w:hyperlink>
      <w:r>
        <w:t xml:space="preserve">.</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w:t>
      </w:r>
      <w:r>
        <w:t xml:space="preserve"> </w:t>
      </w:r>
      <w:r>
        <w:rPr>
          <w:rStyle w:val="VerbatimChar"/>
        </w:rPr>
        <w:t xml:space="preserve">nsubj</w:t>
      </w:r>
      <w:r>
        <w:t xml:space="preserve">,</w:t>
      </w:r>
      <w:r>
        <w:t xml:space="preserve"> </w:t>
      </w:r>
      <w:r>
        <w:rPr>
          <w:rStyle w:val="VerbatimChar"/>
        </w:rPr>
        <w:t xml:space="preserve">dobj</w:t>
      </w:r>
      <w:r>
        <w:t xml:space="preserve">,</w:t>
      </w:r>
      <w:r>
        <w:t xml:space="preserve"> </w:t>
      </w:r>
      <w:r>
        <w:rPr>
          <w:rStyle w:val="VerbatimChar"/>
        </w:rPr>
        <w:t xml:space="preserve">nmod</w:t>
      </w:r>
      <w:r>
        <w:t xml:space="preserve">,</w:t>
      </w:r>
      <w:r>
        <w:t xml:space="preserve"> </w:t>
      </w:r>
      <w:r>
        <w:rPr>
          <w:rStyle w:val="VerbatimChar"/>
        </w:rPr>
        <w:t xml:space="preserve">case</w:t>
      </w:r>
      <w:r>
        <w:t xml:space="preserve">) and a house-style check that enforces the project style guide.</w:t>
      </w:r>
    </w:p>
    <w:bookmarkEnd w:id="29"/>
    <w:bookmarkEnd w:id="30"/>
    <w:bookmarkStart w:id="31"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w:t>
      </w:r>
      <w:r>
        <w:t xml:space="preserve"> </w:t>
      </w:r>
      <w:r>
        <w:t xml:space="preserve">(Haug and Jøhndal 2008, 27–34; Eckhoff et al. 2018, 29–65)</w:t>
      </w:r>
      <w:r>
        <w:t xml:space="preserve">,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31"/>
    <w:bookmarkStart w:id="33"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w:t>
      </w:r>
      <w:r>
        <w:t xml:space="preserve"> </w:t>
      </w:r>
      <w:r>
        <w:rPr>
          <w:i/>
          <w:iCs/>
        </w:rPr>
        <w:t xml:space="preserve">for the verb ἀκούω (</w:t>
      </w:r>
      <w:r>
        <w:rPr>
          <w:i/>
          <w:iCs/>
        </w:rPr>
        <w:t xml:space="preserve">“hear”</w:t>
      </w:r>
      <w:r>
        <w:rPr>
          <w:i/>
          <w:iCs/>
        </w:rPr>
        <w:t xml:space="preserve">), is the object more often in the accusative or in the genitive at each period?</w:t>
      </w:r>
      <w:r>
        <w:t xml:space="preserve">,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w:t>
      </w:r>
      <w:r>
        <w:t xml:space="preserve"> </w:t>
      </w:r>
      <w:r>
        <w:rPr>
          <w:i/>
          <w:iCs/>
        </w:rPr>
        <w:t xml:space="preserve">every Greek aorist active verb whose Latin Vulgate counterpart is passive</w:t>
      </w:r>
      <w:r>
        <w:t xml:space="preserve">, which is expressed in Cypher (Cypher is the query language of Neo4j, structurally analogous to SQL for relational databases, in which</w:t>
      </w:r>
      <w:r>
        <w:t xml:space="preserve"> </w:t>
      </w:r>
      <w:r>
        <w:rPr>
          <w:rStyle w:val="VerbatimChar"/>
        </w:rPr>
        <w:t xml:space="preserve">MATCH</w:t>
      </w:r>
      <w:r>
        <w:t xml:space="preserve"> </w:t>
      </w:r>
      <w:r>
        <w:t xml:space="preserve">patterns are drawn directly with arrows between nodes) as</w:t>
      </w:r>
      <w:r>
        <w:t xml:space="preserve"> </w:t>
      </w:r>
      <w:r>
        <w:rPr>
          <w:rStyle w:val="VerbatimChar"/>
        </w:rPr>
        <w:t xml:space="preserve">MATCH (gk:Token {lang:"grc", tense:"aor", voice:"act"})-[:TRANSLATED_AS]-&gt;(la:Token {lang:"lat", voice:"pass"}) RETURN gk, la</w:t>
      </w:r>
      <w:r>
        <w:t xml:space="preserve">,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w:t>
      </w:r>
      <w:r>
        <w:rPr>
          <w:rStyle w:val="VerbatimChar"/>
        </w:rPr>
        <w:t xml:space="preserve">grc_byz_proiel</w:t>
      </w:r>
      <w:r>
        <w:t xml:space="preserve"> </w:t>
      </w:r>
      <w:r>
        <w:t xml:space="preserve">for Byzantine Greek,</w:t>
      </w:r>
      <w:r>
        <w:t xml:space="preserve"> </w:t>
      </w:r>
      <w:r>
        <w:rPr>
          <w:rStyle w:val="VerbatimChar"/>
        </w:rPr>
        <w:t xml:space="preserve">grc_lbem_proiel</w:t>
      </w:r>
      <w:r>
        <w:t xml:space="preserve"> </w:t>
      </w:r>
      <w:r>
        <w:t xml:space="preserve">for Late Byzantine and Early Modern Greek,</w:t>
      </w:r>
      <w:r>
        <w:t xml:space="preserve"> </w:t>
      </w:r>
      <w:r>
        <w:rPr>
          <w:rStyle w:val="VerbatimChar"/>
        </w:rPr>
        <w:t xml:space="preserve">grc_mod_proiel</w:t>
      </w:r>
      <w:r>
        <w:t xml:space="preserve"> </w:t>
      </w:r>
      <w:r>
        <w:t xml:space="preserve">for Modern Greek) are trained on ARIS; the Hugging Face model repositories under</w:t>
      </w:r>
      <w:r>
        <w:t xml:space="preserve"> </w:t>
      </w:r>
      <w:r>
        <w:rPr>
          <w:rStyle w:val="VerbatimChar"/>
        </w:rPr>
        <w:t xml:space="preserve">AthDGC/*</w:t>
      </w:r>
      <w:r>
        <w:t xml:space="preserve"> </w:t>
      </w:r>
      <w:r>
        <w:t xml:space="preserve">exist now as private during the v0.5 audit pass and become public at v0.5 with the weight payloads (the trained parameter files that the checkpoints comprise) uploaded. In broad terms, the PyPI package</w:t>
      </w:r>
      <w:r>
        <w:t xml:space="preserve"> </w:t>
      </w:r>
      <w:r>
        <w:rPr>
          <w:rStyle w:val="VerbatimChar"/>
        </w:rPr>
        <w:t xml:space="preserve">athdgc-tools</w:t>
      </w:r>
      <w:r>
        <w:t xml:space="preserve"> </w:t>
      </w:r>
      <w:r>
        <w:t xml:space="preserve">reserves the name with the stub</w:t>
      </w:r>
      <w:r>
        <w:t xml:space="preserve"> </w:t>
      </w:r>
      <w:r>
        <w:rPr>
          <w:rStyle w:val="VerbatimChar"/>
        </w:rPr>
        <w:t xml:space="preserve">0.4.0.dev0</w:t>
      </w:r>
      <w:r>
        <w:t xml:space="preserve">,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w:t>
      </w:r>
      <w:r>
        <w:t xml:space="preserve"> </w:t>
      </w:r>
      <w:r>
        <w:rPr>
          <w:i/>
          <w:iCs/>
        </w:rPr>
        <w:t xml:space="preserve">train an SVM classifier (Support Vector Machine, a standard classification algorithm) on</w:t>
      </w:r>
      <w:r>
        <w:rPr>
          <w:i/>
          <w:iCs/>
        </w:rPr>
        <w:t xml:space="preserve"> </w:t>
      </w:r>
      <w:r>
        <w:rPr>
          <w:rStyle w:val="VerbatimChar"/>
          <w:i/>
          <w:iCs/>
        </w:rPr>
        <w:t xml:space="preserve">grc_proiel</w:t>
      </w:r>
      <w:r>
        <w:rPr>
          <w:i/>
          <w:iCs/>
        </w:rPr>
        <w:t xml:space="preserve"> </w:t>
      </w:r>
      <w:r>
        <w:rPr>
          <w:i/>
          <w:iCs/>
        </w:rPr>
        <w:t xml:space="preserve">argument-structure frames to distinguish Archaic from Classical from Koine Greek, and inspect the top-weighted frames per class</w:t>
      </w:r>
      <w:r>
        <w:t xml:space="preserve">, which is the kind of analysis that the LightSIDE-AthDGC fork makes a one-hour classroom exercise.</w:t>
      </w:r>
    </w:p>
    <w:p>
      <w:pPr>
        <w:pStyle w:val="BodyText"/>
      </w:pPr>
      <w:r>
        <w:t xml:space="preserve">Fourthly, digital editions and pedagogy. The showcase generator (</w:t>
      </w:r>
      <w:r>
        <w:rPr>
          <w:rStyle w:val="VerbatimChar"/>
        </w:rPr>
        <w:t xml:space="preserve">51_build_showcase_site.py</w:t>
      </w:r>
      <w:r>
        <w:t xml:space="preserve">)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w:t>
      </w:r>
      <w:r>
        <w:t xml:space="preserve"> </w:t>
      </w:r>
      <w:r>
        <w:rPr>
          <w:rStyle w:val="VerbatimChar"/>
        </w:rPr>
        <w:t xml:space="preserve">.docx</w:t>
      </w:r>
      <w:r>
        <w:t xml:space="preserve">,</w:t>
      </w:r>
      <w:r>
        <w:t xml:space="preserve"> </w:t>
      </w:r>
      <w:r>
        <w:rPr>
          <w:rStyle w:val="VerbatimChar"/>
        </w:rPr>
        <w:t xml:space="preserve">.pptx</w:t>
      </w:r>
      <w:r>
        <w:t xml:space="preserve">, Beamer, and an A0-format academic poster, from a single source. Both are open-source and reusable by other historical-treebank projects. The platform is taught as a KEDIVIM continuing-education course at NKUA,</w:t>
      </w:r>
      <w:r>
        <w:t xml:space="preserve"> </w:t>
      </w:r>
      <w:r>
        <w:rPr>
          <w:i/>
          <w:iCs/>
        </w:rPr>
        <w:t xml:space="preserve">Ψηφιακά Εργαλεία για τη Διαχρονική Ανάλυση της Γλώσσας / Digital Tools for the Diachronic Analysis of Language</w:t>
      </w:r>
      <w:r>
        <w:t xml:space="preserve">, autumn 2026; see</w:t>
      </w:r>
      <w:r>
        <w:t xml:space="preserve"> </w:t>
      </w:r>
      <w:hyperlink r:id="rId32">
        <w:r>
          <w:rPr>
            <w:rStyle w:val="Hyperlink"/>
          </w:rPr>
          <w:t xml:space="preserve">https://athdgc.github.io/training.html</w:t>
        </w:r>
      </w:hyperlink>
      <w:r>
        <w:t xml:space="preserve">.</w:t>
      </w:r>
    </w:p>
    <w:bookmarkEnd w:id="33"/>
    <w:bookmarkStart w:id="34" w:name="access-and-format"/>
    <w:p>
      <w:pPr>
        <w:pStyle w:val="Heading2"/>
      </w:pPr>
      <w:r>
        <w:t xml:space="preserve">6. Access and format</w:t>
      </w:r>
    </w:p>
    <w:p>
      <w:pPr>
        <w:pStyle w:val="FirstParagraph"/>
      </w:pPr>
      <w:r>
        <w:t xml:space="preserve">The public site at</w:t>
      </w:r>
      <w:r>
        <w:t xml:space="preserve"> </w:t>
      </w:r>
      <w:hyperlink r:id="rId10">
        <w:r>
          <w:rPr>
            <w:rStyle w:val="Hyperlink"/>
          </w:rPr>
          <w:t xml:space="preserve">https://athdgc.github.io</w:t>
        </w:r>
      </w:hyperlink>
      <w:r>
        <w:t xml:space="preserve"> </w:t>
      </w:r>
      <w:r>
        <w:t xml:space="preserve">ships curated samples only for the v0.4 release. The full annotated corpus partitions remain under audit on the GRNET ARIS national HPC under allocation</w:t>
      </w:r>
      <w:r>
        <w:t xml:space="preserve"> </w:t>
      </w:r>
      <w:r>
        <w:rPr>
          <w:rStyle w:val="VerbatimChar"/>
        </w:rPr>
        <w:t xml:space="preserve">pa260305</w:t>
      </w:r>
      <w:r>
        <w:t xml:space="preserve">; they ship at v0.5 as a separate Zenodo dataset record under CC-BY-4.0. The source-code snapshot at the v0.4.0 Zenodo record is Apache-2.0.</w:t>
      </w:r>
    </w:p>
    <w:p>
      <w:pPr>
        <w:pStyle w:val="BodyText"/>
      </w:pPr>
      <w:r>
        <w:t xml:space="preserve">The toolkit’s readiness per module is summarised in §3.4 and on the public Tools page at</w:t>
      </w:r>
      <w:r>
        <w:t xml:space="preserve"> </w:t>
      </w:r>
      <w:hyperlink r:id="rId27">
        <w:r>
          <w:rPr>
            <w:rStyle w:val="Hyperlink"/>
          </w:rPr>
          <w:t xml:space="preserve">https://athdgc.github.io/tools.html</w:t>
        </w:r>
      </w:hyperlink>
      <w:r>
        <w:t xml:space="preserve">. Five modules are LIVE today (the Quarto template pack, the showcase generator, the corpus-fix toolkit, the PROIEL XML 2.0 exporter inside the build workflow, and the Stanza annotation job script). Eight are IN SETUP and ship with the v0.5 release. The LightSIDE-AthDGC syntactic-feature fork, the NoSketch-style concordancer, the Neo4j alignment viewer, the valency-frame database client, the retranslation-pair browser, and the retelling-chain explorer are FORTHCOMING at v0.5.</w:t>
      </w:r>
    </w:p>
    <w:bookmarkEnd w:id="34"/>
    <w:bookmarkStart w:id="35" w:name="acknowledgements"/>
    <w:p>
      <w:pPr>
        <w:pStyle w:val="Heading2"/>
      </w:pPr>
      <w:r>
        <w:t xml:space="preserve">7. Acknowledgements</w:t>
      </w:r>
    </w:p>
    <w:p>
      <w:pPr>
        <w:pStyle w:val="FirstParagraph"/>
      </w:pPr>
      <w:r>
        <w:t xml:space="preserve">Funded by the</w:t>
      </w:r>
      <w:r>
        <w:t xml:space="preserve"> </w:t>
      </w:r>
      <w:r>
        <w:rPr>
          <w:b/>
          <w:bCs/>
        </w:rPr>
        <w:t xml:space="preserve">Hellenic Foundation for Research and Innovation (HFRI)</w:t>
      </w:r>
      <w:r>
        <w:t xml:space="preserve"> </w:t>
      </w:r>
      <w:r>
        <w:t xml:space="preserve">under the 3rd Call for HFRI Research Projects to support Post-Doctoral Researchers,</w:t>
      </w:r>
      <w:r>
        <w:t xml:space="preserve"> </w:t>
      </w:r>
      <w:r>
        <w:rPr>
          <w:b/>
          <w:bCs/>
        </w:rPr>
        <w:t xml:space="preserve">Project No. 20577</w:t>
      </w:r>
      <w:r>
        <w:t xml:space="preserve">; with complementary support from the</w:t>
      </w:r>
      <w:r>
        <w:t xml:space="preserve"> </w:t>
      </w:r>
      <w:r>
        <w:rPr>
          <w:b/>
          <w:bCs/>
        </w:rPr>
        <w:t xml:space="preserve">Greece 2.0 National Recovery and Resilience Plan</w:t>
      </w:r>
      <w:r>
        <w:t xml:space="preserve">. Compute supplied by</w:t>
      </w:r>
      <w:r>
        <w:t xml:space="preserve"> </w:t>
      </w:r>
      <w:r>
        <w:rPr>
          <w:b/>
          <w:bCs/>
        </w:rPr>
        <w:t xml:space="preserve">GRNET ARIS</w:t>
      </w:r>
      <w:r>
        <w:t xml:space="preserve">, the Greek national high-performance computing cluster, under allocation</w:t>
      </w:r>
      <w:r>
        <w:t xml:space="preserve"> </w:t>
      </w:r>
      <w:r>
        <w:rPr>
          <w:rStyle w:val="VerbatimChar"/>
        </w:rPr>
        <w:t xml:space="preserve">pa260305</w:t>
      </w:r>
      <w:r>
        <w:t xml:space="preserve">.</w:t>
      </w:r>
    </w:p>
    <w:p>
      <w:pPr>
        <w:pStyle w:val="BodyText"/>
      </w:pPr>
      <w:r>
        <w:t xml:space="preserve">The funded project is</w:t>
      </w:r>
      <w:r>
        <w:t xml:space="preserve"> </w:t>
      </w:r>
      <w:r>
        <w:rPr>
          <w:b/>
          <w:bCs/>
        </w:rPr>
        <w:t xml:space="preserve">CVL-CDSAML</w:t>
      </w:r>
      <w:r>
        <w:t xml:space="preserve">:</w:t>
      </w:r>
      <w:r>
        <w:t xml:space="preserve"> </w:t>
      </w:r>
      <w:r>
        <w:rPr>
          <w:i/>
          <w:iCs/>
        </w:rPr>
        <w:t xml:space="preserve">A Corpus-based Valency Lexicon for a Contrastive and Diachronic Study of Ancient and Medieval Languages</w:t>
      </w:r>
      <w:r>
        <w:t xml:space="preserve">.</w:t>
      </w:r>
    </w:p>
    <w:p>
      <w:pPr>
        <w:pStyle w:val="BodyText"/>
      </w:pPr>
      <w:r>
        <w:t xml:space="preserve">The team comprises Prof. Nikolaos Lavidas (Principal Investigator, NKUA), Prof. Emerita Kiki Nikiforidou (NKUA; Co-Editor of the</w:t>
      </w:r>
      <w:r>
        <w:t xml:space="preserve"> </w:t>
      </w:r>
      <w:r>
        <w:rPr>
          <w:i/>
          <w:iCs/>
        </w:rPr>
        <w:t xml:space="preserve">Genres and Influential Texts</w:t>
      </w:r>
      <w:r>
        <w:t xml:space="preserve"> </w:t>
      </w:r>
      <w:r>
        <w:t xml:space="preserve">volume), Prof. Dag Haug (University of Oslo; PROIEL Project Director), Prof. Leonid Kulikov (Ghent University; diachronic typology, valency questionnaires), Dr. Vassiliki Geka (NKUA; Post-Doctoral Researcher; Co-Editor of the</w:t>
      </w:r>
      <w:r>
        <w:t xml:space="preserve"> </w:t>
      </w:r>
      <w:r>
        <w:rPr>
          <w:i/>
          <w:iCs/>
        </w:rPr>
        <w:t xml:space="preserve">Genres and Influential Texts</w:t>
      </w:r>
      <w:r>
        <w:t xml:space="preserve"> </w:t>
      </w:r>
      <w:r>
        <w:t xml:space="preserve">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5"/>
    <w:bookmarkStart w:id="43" w:name="references"/>
    <w:p>
      <w:pPr>
        <w:pStyle w:val="Heading2"/>
      </w:pPr>
      <w:r>
        <w:t xml:space="preserve">References</w:t>
      </w:r>
    </w:p>
    <w:bookmarkStart w:id="42" w:name="refs"/>
    <w:bookmarkStart w:id="36"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6"/>
    <w:bookmarkStart w:id="37" w:name="ref-eckhoff2018"/>
    <w:p>
      <w:pPr>
        <w:pStyle w:val="Bibliography"/>
      </w:pPr>
      <w:r>
        <w:t xml:space="preserve">Eckhoff, Hanne M., Kristin Bech, Gerlof Bouma, et al. 2018.</w:t>
      </w:r>
      <w:r>
        <w:t xml:space="preserve"> </w:t>
      </w:r>
      <w:r>
        <w:t xml:space="preserve">“The</w:t>
      </w:r>
      <w:r>
        <w:t xml:space="preserve"> </w:t>
      </w:r>
      <w:r>
        <w:t xml:space="preserve">PROIEL</w:t>
      </w:r>
      <w:r>
        <w:t xml:space="preserve"> </w:t>
      </w:r>
      <w:r>
        <w:t xml:space="preserve">Treebank Family: A Standard for Early Attestations of</w:t>
      </w:r>
      <w:r>
        <w:t xml:space="preserve"> </w:t>
      </w:r>
      <w:r>
        <w:t xml:space="preserve">Indo-European</w:t>
      </w:r>
      <w:r>
        <w:t xml:space="preserve"> </w:t>
      </w:r>
      <w:r>
        <w:t xml:space="preserve">Languages.”</w:t>
      </w:r>
      <w:r>
        <w:t xml:space="preserve"> </w:t>
      </w:r>
      <w:r>
        <w:rPr>
          <w:i/>
          <w:iCs/>
        </w:rPr>
        <w:t xml:space="preserve">Language Resources and Evaluation</w:t>
      </w:r>
      <w:r>
        <w:t xml:space="preserve"> </w:t>
      </w:r>
      <w:r>
        <w:t xml:space="preserve">52 (1): 29–65.</w:t>
      </w:r>
    </w:p>
    <w:bookmarkEnd w:id="37"/>
    <w:bookmarkStart w:id="38" w:name="ref-feng2022"/>
    <w:p>
      <w:pPr>
        <w:pStyle w:val="Bibliography"/>
      </w:pPr>
      <w:r>
        <w:t xml:space="preserve">Feng, Fangxiaoyu, Yinfei Yang, Daniel Cer, Naveen Arivazhagan, and Wei Wang. 2022.</w:t>
      </w:r>
      <w:r>
        <w:t xml:space="preserve"> </w:t>
      </w:r>
      <w:r>
        <w:t xml:space="preserve">“Language-Agnostic</w:t>
      </w:r>
      <w:r>
        <w:t xml:space="preserve"> </w:t>
      </w:r>
      <w:r>
        <w:t xml:space="preserve">BERT</w:t>
      </w:r>
      <w:r>
        <w:t xml:space="preserve"> </w:t>
      </w:r>
      <w:r>
        <w:t xml:space="preserve">Sentence Embedding.”</w:t>
      </w:r>
      <w:r>
        <w:t xml:space="preserve"> </w:t>
      </w:r>
      <w:r>
        <w:rPr>
          <w:i/>
          <w:iCs/>
        </w:rPr>
        <w:t xml:space="preserve">Proceedings of the 60th Annual Meeting of the Association for Computational Linguistics (ACL 2022), Volume 1: Long Papers</w:t>
      </w:r>
      <w:r>
        <w:t xml:space="preserve">, 878–91.</w:t>
      </w:r>
    </w:p>
    <w:bookmarkEnd w:id="38"/>
    <w:bookmarkStart w:id="39" w:name="ref-haug2008"/>
    <w:p>
      <w:pPr>
        <w:pStyle w:val="Bibliography"/>
      </w:pPr>
      <w:r>
        <w:t xml:space="preserve">Haug, Dag T. T., and Marius Jøhndal. 2008.</w:t>
      </w:r>
      <w:r>
        <w:t xml:space="preserve"> </w:t>
      </w:r>
      <w:r>
        <w:t xml:space="preserve">“Creating a Parallel Treebank of the Old</w:t>
      </w:r>
      <w:r>
        <w:t xml:space="preserve"> </w:t>
      </w:r>
      <w:r>
        <w:t xml:space="preserve">Indo-European</w:t>
      </w:r>
      <w:r>
        <w:t xml:space="preserve"> </w:t>
      </w:r>
      <w:r>
        <w:t xml:space="preserve">Bible</w:t>
      </w:r>
      <w:r>
        <w:t xml:space="preserve"> </w:t>
      </w:r>
      <w:r>
        <w:t xml:space="preserve">Translations.”</w:t>
      </w:r>
      <w:r>
        <w:t xml:space="preserve"> </w:t>
      </w:r>
      <w:r>
        <w:rPr>
          <w:i/>
          <w:iCs/>
        </w:rPr>
        <w:t xml:space="preserve">Proceedings of the Second Workshop on Language Technology for Cultural Heritage Data (LaTeCH 2008)</w:t>
      </w:r>
      <w:r>
        <w:t xml:space="preserve">, 27–34.</w:t>
      </w:r>
    </w:p>
    <w:bookmarkEnd w:id="39"/>
    <w:bookmarkStart w:id="40"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40"/>
    <w:bookmarkStart w:id="41" w:name="ref-qi2020"/>
    <w:p>
      <w:pPr>
        <w:pStyle w:val="Bibliography"/>
      </w:pPr>
      <w:r>
        <w:t xml:space="preserve">Qi, Peng, Yuhao Zhang, Yuhui Zhang, Jason Bolton, and Christopher D. Manning. 2020.</w:t>
      </w:r>
      <w:r>
        <w:t xml:space="preserve"> </w:t>
      </w:r>
      <w:r>
        <w:t xml:space="preserve">“</w:t>
      </w:r>
      <w:r>
        <w:t xml:space="preserve">Stanza</w:t>
      </w:r>
      <w:r>
        <w:t xml:space="preserve">: A</w:t>
      </w:r>
      <w:r>
        <w:t xml:space="preserve"> </w:t>
      </w:r>
      <w:r>
        <w:t xml:space="preserve">Python</w:t>
      </w:r>
      <w:r>
        <w:t xml:space="preserve"> </w:t>
      </w:r>
      <w:r>
        <w:t xml:space="preserve">Natural Language Processing Toolkit for Many Human Languages.”</w:t>
      </w:r>
      <w:r>
        <w:t xml:space="preserve"> </w:t>
      </w:r>
      <w:r>
        <w:rPr>
          <w:i/>
          <w:iCs/>
        </w:rPr>
        <w:t xml:space="preserve">Proceedings of the 58th Annual Meeting of the Association for Computational Linguistics: System Demonstrations (ACL 2020)</w:t>
      </w:r>
      <w:r>
        <w:t xml:space="preserve">, 101–8.</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thdgc.github.io" TargetMode="External" /><Relationship Type="http://schemas.openxmlformats.org/officeDocument/2006/relationships/hyperlink" Id="rId28" Target="https://athdgc.github.io/status.html" TargetMode="External" /><Relationship Type="http://schemas.openxmlformats.org/officeDocument/2006/relationships/hyperlink" Id="rId27" Target="https://athdgc.github.io/tools.html" TargetMode="External" /><Relationship Type="http://schemas.openxmlformats.org/officeDocument/2006/relationships/hyperlink" Id="rId32" Target="https://athdgc.github.io/training.html" TargetMode="External" /><Relationship Type="http://schemas.openxmlformats.org/officeDocument/2006/relationships/hyperlink" Id="rId11" Target="https://doi.org/10.5281/zenodo.20439182" TargetMode="External" /></Relationships>
</file>

<file path=word/_rels/footnotes.xml.rels><?xml version="1.0" encoding="UTF-8"?><Relationships xmlns="http://schemas.openxmlformats.org/package/2006/relationships"><Relationship Type="http://schemas.openxmlformats.org/officeDocument/2006/relationships/hyperlink" Id="rId10" Target="https://athdgc.github.io" TargetMode="External" /><Relationship Type="http://schemas.openxmlformats.org/officeDocument/2006/relationships/hyperlink" Id="rId28" Target="https://athdgc.github.io/status.html" TargetMode="External" /><Relationship Type="http://schemas.openxmlformats.org/officeDocument/2006/relationships/hyperlink" Id="rId27" Target="https://athdgc.github.io/tools.html" TargetMode="External" /><Relationship Type="http://schemas.openxmlformats.org/officeDocument/2006/relationships/hyperlink" Id="rId32" Target="https://athdgc.github.io/training.html" TargetMode="External" /><Relationship Type="http://schemas.openxmlformats.org/officeDocument/2006/relationships/hyperlink" Id="rId11" Target="https://doi.org/10.5281/zenodo.204391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2026-06-10T17:30:33Z</dcterms:created>
  <dcterms:modified xsi:type="dcterms:W3CDTF">2026-06-10T17:30:33Z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ships curated samples and the open-source toolkit; the full annotated corpus partitions remain under v0.5 audit on the Greek national HPC. Quantitative scale, per-witness verse counts, and per-period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