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pipeline;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pipeline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pipeline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Source material reaches AthDGC through three complementary channels, of which</w:t>
      </w:r>
      <w:r>
        <w:t xml:space="preserve"> </w:t>
      </w:r>
      <w:r>
        <w:t xml:space="preserve">the first runs daily and the other two are continuous on a slower cadence.</w:t>
      </w:r>
    </w:p>
    <w:p>
      <w:pPr>
        <w:pStyle w:val="BodyText"/>
      </w:pPr>
      <w:r>
        <w:t xml:space="preserve">The first channel is the</w:t>
      </w:r>
      <w:r>
        <w:t xml:space="preserve"> </w:t>
      </w:r>
      <w:r>
        <w:rPr>
          <w:i/>
          <w:iCs/>
        </w:rPr>
        <w:t xml:space="preserve">daily online-archive harvest</w:t>
      </w:r>
      <w:r>
        <w:t xml:space="preserve">. Each day, the</w:t>
      </w:r>
      <w:r>
        <w:t xml:space="preserve"> </w:t>
      </w:r>
      <w:r>
        <w:t xml:space="preserve">discovery stage probes online open-access repositories for new or updated Greek</w:t>
      </w:r>
      <w:r>
        <w:t xml:space="preserve"> </w:t>
      </w:r>
      <w:r>
        <w:t xml:space="preserve">and parallel-language source material. The repositories currently probed</w:t>
      </w:r>
      <w:r>
        <w:t xml:space="preserve"> </w:t>
      </w:r>
      <w:r>
        <w:t xml:space="preserve">include archive.org, the Perseus Digital Library (the standard online archive</w:t>
      </w:r>
      <w:r>
        <w:t xml:space="preserve"> </w:t>
      </w:r>
      <w:r>
        <w:t xml:space="preserve">of classical-Greek and Latin texts maintained by Tufts University), the Open</w:t>
      </w:r>
      <w:r>
        <w:t xml:space="preserve"> </w:t>
      </w:r>
      <w:r>
        <w:t xml:space="preserve">Greek and Latin First Thousand Years of Greek collection at Leipzig, Wikisource</w:t>
      </w:r>
      <w:r>
        <w:t xml:space="preserve"> </w:t>
      </w:r>
      <w:r>
        <w:t xml:space="preserve">Greek (</w:t>
      </w:r>
      <w:r>
        <w:rPr>
          <w:rStyle w:val="VerbatimChar"/>
        </w:rPr>
        <w:t xml:space="preserve">el.wikisource.org</w:t>
      </w:r>
      <w:r>
        <w:t xml:space="preserve">), the Diorisis Corpus (the lemmatised classical-Greek</w:t>
      </w:r>
      <w:r>
        <w:t xml:space="preserve"> </w:t>
      </w:r>
      <w:r>
        <w:t xml:space="preserve">corpus by Vatri and McGillivray), and OpenGreekAndLatin / PerseusDL on GitHub.</w:t>
      </w:r>
      <w:r>
        <w:t xml:space="preserve"> </w:t>
      </w:r>
      <w:r>
        <w:t xml:space="preserve">For the parallel languages, the discovery stage probes the Wulfila Project at</w:t>
      </w:r>
      <w:r>
        <w:t xml:space="preserve"> </w:t>
      </w:r>
      <w:r>
        <w:t xml:space="preserve">the University of Antwerp (Gothic), TITUS at the University of Frankfurt (Old</w:t>
      </w:r>
      <w:r>
        <w:t xml:space="preserve"> </w:t>
      </w:r>
      <w:r>
        <w:t xml:space="preserve">Church Slavonic and Classical Armenian), GRETIL at Goettingen (Sanskrit),</w:t>
      </w:r>
      <w:r>
        <w:t xml:space="preserve"> </w:t>
      </w:r>
      <w:r>
        <w:t xml:space="preserve">TEAMS at the Robbins Library (Old English), and the National Library of</w:t>
      </w:r>
      <w:r>
        <w:t xml:space="preserve"> </w:t>
      </w:r>
      <w:r>
        <w:t xml:space="preserve">Ukraine facsimile collection.</w:t>
      </w:r>
    </w:p>
    <w:p>
      <w:pPr>
        <w:pStyle w:val="BodyText"/>
      </w:pPr>
      <w:r>
        <w:t xml:space="preserve">The second channel is</w:t>
      </w:r>
      <w:r>
        <w:t xml:space="preserve"> </w:t>
      </w:r>
      <w:r>
        <w:rPr>
          <w:i/>
          <w:iCs/>
        </w:rPr>
        <w:t xml:space="preserve">in-house digitisation</w:t>
      </w:r>
      <w:r>
        <w:t xml:space="preserve">, namely the OCR (Optical</w:t>
      </w:r>
      <w:r>
        <w:t xml:space="preserve"> </w:t>
      </w:r>
      <w:r>
        <w:t xml:space="preserve">Character Recognition, the conversion of scanned page images into</w:t>
      </w:r>
      <w:r>
        <w:t xml:space="preserve"> </w:t>
      </w:r>
      <w:r>
        <w:t xml:space="preserve">machine-readable text) of out-of-copyright printed editions held by NKUA and</w:t>
      </w:r>
      <w:r>
        <w:t xml:space="preserve"> </w:t>
      </w:r>
      <w:r>
        <w:t xml:space="preserve">partner institutions. This channel covers pre-1928 Teubner editions, the</w:t>
      </w:r>
      <w:r>
        <w:t xml:space="preserve"> </w:t>
      </w:r>
      <w:r>
        <w:t xml:space="preserve">Patrologia Graeca volumes not yet available in clean text form, scanned Early</w:t>
      </w:r>
      <w:r>
        <w:t xml:space="preserve"> </w:t>
      </w:r>
      <w:r>
        <w:t xml:space="preserve">Modern Greek printed books from the Anemi collection at the University of</w:t>
      </w:r>
      <w:r>
        <w:t xml:space="preserve"> </w:t>
      </w:r>
      <w:r>
        <w:t xml:space="preserve">Crete, and equivalent printed material from collaborating Departments of</w:t>
      </w:r>
      <w:r>
        <w:t xml:space="preserve"> </w:t>
      </w:r>
      <w:r>
        <w:t xml:space="preserve">Classical Studies in the CIVIS Alliance and at other Greek universities.</w:t>
      </w:r>
      <w:r>
        <w:t xml:space="preserve"> </w:t>
      </w:r>
      <w:r>
        <w:t xml:space="preserve">Manuscript facsimiles supplied by project partners enter through the same</w:t>
      </w:r>
      <w:r>
        <w:t xml:space="preserve"> </w:t>
      </w:r>
      <w:r>
        <w:t xml:space="preserve">channel and are flagged in the corpus metadata with the supplying institution</w:t>
      </w:r>
      <w:r>
        <w:t xml:space="preserve"> </w:t>
      </w:r>
      <w:r>
        <w:t xml:space="preserve">and the corresponding editorial provenance.</w:t>
      </w:r>
    </w:p>
    <w:p>
      <w:pPr>
        <w:pStyle w:val="BodyText"/>
      </w:pPr>
      <w:r>
        <w:t xml:space="preserve">The third channel is</w:t>
      </w:r>
      <w:r>
        <w:t xml:space="preserve"> </w:t>
      </w:r>
      <w:r>
        <w:rPr>
          <w:i/>
          <w:iCs/>
        </w:rPr>
        <w:t xml:space="preserve">community contribution</w:t>
      </w:r>
      <w:r>
        <w:t xml:space="preserve">, namely the submission of</w:t>
      </w:r>
      <w:r>
        <w:t xml:space="preserve"> </w:t>
      </w:r>
      <w:r>
        <w:t xml:space="preserve">prepared text or annotation by external researchers and by KEDIVIM</w:t>
      </w:r>
      <w:r>
        <w:t xml:space="preserve"> </w:t>
      </w:r>
      <w:r>
        <w:t xml:space="preserve">continuing-education-course participants (see §5). Such contributions are</w:t>
      </w:r>
      <w:r>
        <w:t xml:space="preserve"> </w:t>
      </w:r>
      <w:r>
        <w:t xml:space="preserve">versioned in the public GitHub repository as pull requests, pass the same</w:t>
      </w:r>
      <w:r>
        <w:t xml:space="preserve"> </w:t>
      </w:r>
      <w:r>
        <w:t xml:space="preserve">PROIEL XML 2.0 schema validator and house-style check that govern internal</w:t>
      </w:r>
      <w:r>
        <w:t xml:space="preserve"> </w:t>
      </w:r>
      <w:r>
        <w:t xml:space="preserve">contributions (see §3.4), and on acceptance receive co-authorship</w:t>
      </w:r>
      <w:r>
        <w:t xml:space="preserve"> </w:t>
      </w:r>
      <w:r>
        <w:t xml:space="preserve">acknowledgement on the next release notes.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 stage retrieves the Homeric text</w:t>
      </w:r>
      <w:r>
        <w:t xml:space="preserve"> </w:t>
      </w:r>
      <w:r>
        <w:t xml:space="preserve">from the Perseus Digital Library through its CTS URN (Canonical Text Services</w:t>
      </w:r>
      <w:r>
        <w:t xml:space="preserve"> </w:t>
      </w:r>
      <w:r>
        <w:t xml:space="preserve">Uniform Resource Name, a standard identifier scheme used by classical-text</w:t>
      </w:r>
      <w:r>
        <w:t xml:space="preserve"> </w:t>
      </w:r>
      <w:r>
        <w:t xml:space="preserve">repositories for referring to a specific edition of a specific work),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, together with the Kakridis-Kazantzakis 1955</w:t>
      </w:r>
      <w:r>
        <w:t xml:space="preserve"> </w:t>
      </w:r>
      <w:r>
        <w:t xml:space="preserve">prose translation, mirrored on Wikisource, and the Tzetzes Byzantine epitome</w:t>
      </w:r>
      <w:r>
        <w:t xml:space="preserve"> </w:t>
      </w:r>
      <w:r>
        <w:t xml:space="preserve">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pipeline)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pipeline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(a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model is</w:t>
      </w:r>
      <w:r>
        <w:t xml:space="preserve"> </w:t>
      </w:r>
      <w:r>
        <w:t xml:space="preserve">one that has been further trained on a smaller, target-specific dataset on top</w:t>
      </w:r>
      <w:r>
        <w:t xml:space="preserve"> </w:t>
      </w:r>
      <w:r>
        <w:t xml:space="preserve">of its general-purpose training, so that it adapts to the particular text type</w:t>
      </w:r>
      <w:r>
        <w:t xml:space="preserve"> </w:t>
      </w:r>
      <w:r>
        <w:t xml:space="preserve">in question) trained on TITUS Armenian material. The Stanza output for each</w:t>
      </w:r>
      <w:r>
        <w:t xml:space="preserve"> </w:t>
      </w:r>
      <w:r>
        <w:t xml:space="preserve">sentence is then normalised to the PROIEL XML 2.0 schema; AthDGC publishes</w:t>
      </w:r>
      <w:r>
        <w:t xml:space="preserve"> </w:t>
      </w:r>
      <w:r>
        <w:t xml:space="preserve">PROIEL XML 2.0 only, with no CoNLL-U (the line-by-line tab-separated format</w:t>
      </w:r>
      <w:r>
        <w:t xml:space="preserve"> </w:t>
      </w:r>
      <w:r>
        <w:t xml:space="preserve">used by the Universal Dependencies project, with one token per line and one</w:t>
      </w:r>
      <w:r>
        <w:t xml:space="preserve"> </w:t>
      </w:r>
      <w:r>
        <w:t xml:space="preserve">column per annotation attribute) or other format offered, since the analytical</w:t>
      </w:r>
      <w:r>
        <w:t xml:space="preserve"> </w:t>
      </w:r>
      <w:r>
        <w:t xml:space="preserve">pipeline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(the file format developed at the University of Oslo for storing each sentence as a tree of word-by-word grammatical relations; this is the primary format of the corpus); JSONL partitions (JSON Lines, a plain-text format that stores one annotated sentence per line, used here for fast streaming through the analytical pipeline); Neo4j alignment-graph dump (Neo4j is a graph database that stores data as connections between nodes rather than as rows in tables, used here to store which token in one language corresponds to which token in another); Qdrant vector store (Qdrant is a vector database that stores LaBSE numeric sentence representations for fast similarity search across the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pipeline,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; UD here is Universal Dependencies, the alternative</w:t>
      </w:r>
      <w:r>
        <w:t xml:space="preserve"> </w:t>
      </w:r>
      <w:r>
        <w:t xml:space="preserve">treebanking framework whose label inventory is incompatible with PROIEL), the</w:t>
      </w:r>
      <w:r>
        <w:t xml:space="preserve"> </w:t>
      </w:r>
      <w:r>
        <w:t xml:space="preserve">house-style check, the argument-frame extractor, the Stanza fine-tuning</w:t>
      </w:r>
      <w:r>
        <w:t xml:space="preserve"> </w:t>
      </w:r>
      <w:r>
        <w:t xml:space="preserve">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 Package Index,</w:t>
      </w:r>
      <w:r>
        <w:t xml:space="preserve"> </w:t>
      </w:r>
      <w:r>
        <w:t xml:space="preserve">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 from), and the</w:t>
      </w:r>
      <w:r>
        <w:t xml:space="preserve"> </w:t>
      </w:r>
      <w:r>
        <w:t xml:space="preserve">three Hugging Face model repositories whose weights upload at v0.5 (Hugging</w:t>
      </w:r>
      <w:r>
        <w:t xml:space="preserve"> </w:t>
      </w:r>
      <w:r>
        <w:t xml:space="preserve">Face is a public hosting platform for machine-learning models and datasets;</w:t>
      </w:r>
      <w:r>
        <w:t xml:space="preserve"> </w:t>
      </w:r>
      <w:r>
        <w:t xml:space="preserve">“weights”</w:t>
      </w:r>
      <w:r>
        <w:t xml:space="preserve"> </w:t>
      </w:r>
      <w:r>
        <w:t xml:space="preserve">here are the trained parameters of the Stanza model that allow it</w:t>
      </w:r>
      <w:r>
        <w:t xml:space="preserve"> </w:t>
      </w:r>
      <w:r>
        <w:t xml:space="preserve">to parse new sentences). The remaining modules are FORTHCOMING at v0.5: the</w:t>
      </w:r>
      <w:r>
        <w:t xml:space="preserve"> </w:t>
      </w:r>
      <w:r>
        <w:t xml:space="preserve">LightSIDE-AthDGC syntactic-feature fork and its export scripts, the</w:t>
      </w:r>
      <w:r>
        <w:t xml:space="preserve"> </w:t>
      </w:r>
      <w:r>
        <w:t xml:space="preserve">NoSketch-style CWB indexer (NoSketch Engine is an open-source concordancer</w:t>
      </w:r>
      <w:r>
        <w:t xml:space="preserve"> </w:t>
      </w:r>
      <w:r>
        <w:t xml:space="preserve">interface; CWB is the IMS Open Corpus Workbench, the back-end indexing engine</w:t>
      </w:r>
      <w:r>
        <w:t xml:space="preserve"> </w:t>
      </w:r>
      <w:r>
        <w:t xml:space="preserve">that powers it), the Neo4j alignment viewer (a web-based interface to the</w:t>
      </w:r>
      <w:r>
        <w:t xml:space="preserve"> </w:t>
      </w:r>
      <w:r>
        <w:t xml:space="preserve">Neo4j alignment graph described in §3),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</w:t>
      </w:r>
      <w:r>
        <w:t xml:space="preserve"> </w:t>
      </w:r>
      <w:r>
        <w:t xml:space="preserve">(the Creative Commons Attribution 4.0 International licence, which permits</w:t>
      </w:r>
      <w:r>
        <w:t xml:space="preserve"> </w:t>
      </w:r>
      <w:r>
        <w:t xml:space="preserve">reuse with credit); the tool code is Apache-2.0 (a permissive open-source</w:t>
      </w:r>
      <w:r>
        <w:t xml:space="preserve"> </w:t>
      </w:r>
      <w:r>
        <w:t xml:space="preserve">software licence widely used in the academic computational humanities; most</w:t>
      </w:r>
      <w:r>
        <w:t xml:space="preserve"> </w:t>
      </w:r>
      <w:r>
        <w:t xml:space="preserve">modules use this), MIT (the Quarto pack and the Neo4j viewer; the MIT licence</w:t>
      </w:r>
      <w:r>
        <w:t xml:space="preserve"> </w:t>
      </w:r>
      <w:r>
        <w:t xml:space="preserve">is a short permissive open-source licence widely used for academic web</w:t>
      </w:r>
      <w:r>
        <w:t xml:space="preserve"> </w:t>
      </w:r>
      <w:r>
        <w:t xml:space="preserve">tooling), BSD-3-Clause (the Berkeley Software Distribution 3-Clause licence,</w:t>
      </w:r>
      <w:r>
        <w:t xml:space="preserve"> </w:t>
      </w:r>
      <w:r>
        <w:t xml:space="preserve">a permissive open-source licence inherited from the upstream LightSIDE</w:t>
      </w:r>
      <w:r>
        <w:t xml:space="preserve"> </w:t>
      </w:r>
      <w:r>
        <w:t xml:space="preserve">project), and GPL-3.0 (the upstream CWB indexer, retained on the index</w:t>
      </w:r>
      <w:r>
        <w:t xml:space="preserve"> </w:t>
      </w:r>
      <w:r>
        <w:t xml:space="preserve">builder; GPL-3.0 is the GNU General Public License version 3, a copyleft</w:t>
      </w:r>
      <w:r>
        <w:t xml:space="preserve"> </w:t>
      </w:r>
      <w:r>
        <w:t xml:space="preserve">licence that requires derivative works to ship under the same terms).</w:t>
      </w:r>
    </w:p>
    <w:p>
      <w:pPr>
        <w:pStyle w:val="BodyText"/>
      </w:pPr>
      <w:r>
        <w:t xml:space="preserve">Two automated gates run on every community pull request (a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is</w:t>
      </w:r>
      <w:r>
        <w:t xml:space="preserve"> </w:t>
      </w:r>
      <w:r>
        <w:t xml:space="preserve">a proposed code change submitted by an external contributor for review before</w:t>
      </w:r>
      <w:r>
        <w:t xml:space="preserve"> </w:t>
      </w:r>
      <w:r>
        <w:t xml:space="preserve">it is merged into the public repository), namely a PROIEL XML 2.0 schema</w:t>
      </w:r>
      <w:r>
        <w:t xml:space="preserve"> </w:t>
      </w:r>
      <w:r>
        <w:t xml:space="preserve">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; these are the Universal Dependencies labels that AthDGC does not</w:t>
      </w:r>
      <w:r>
        <w:t xml:space="preserve"> </w:t>
      </w:r>
      <w:r>
        <w:t xml:space="preserve">publish)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is expressed in Cypher (Cypher is the query</w:t>
      </w:r>
      <w:r>
        <w:t xml:space="preserve"> </w:t>
      </w:r>
      <w:r>
        <w:t xml:space="preserve">language of Neo4j, structurally analogous to SQL for relational databases, in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patterns are drawn directly with arrows between nodes) as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,</w:t>
      </w:r>
      <w:r>
        <w:t xml:space="preserve"> </w:t>
      </w:r>
      <w:r>
        <w:t xml:space="preserve">and which is answered across the entire NT-aligned partition in a single pass.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 (a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is a saved snapshot of a trained model’s numeric parameters, which</w:t>
      </w:r>
      <w:r>
        <w:t xml:space="preserve"> </w:t>
      </w:r>
      <w:r>
        <w:t xml:space="preserve">can be loaded back into Stanza to parse new sentences without re-training)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(the trained parameter files that the checkpoints comprise) 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(JSON Lines, the line-per-record plain-text format) corpus; the</w:t>
      </w:r>
      <w:r>
        <w:t xml:space="preserve"> </w:t>
      </w:r>
      <w:r>
        <w:t xml:space="preserve">Quarto template pack (Quarto is an open-source publishing system that builds</w:t>
      </w:r>
      <w:r>
        <w:t xml:space="preserve"> </w:t>
      </w:r>
      <w:r>
        <w:t xml:space="preserve">websites, slides, papers, and posters from a single source file) generates the</w:t>
      </w:r>
      <w:r>
        <w:t xml:space="preserve"> </w:t>
      </w:r>
      <w:r>
        <w:t xml:space="preserve">whole multi-output site, namely HTML, Reveal.js slides (Reveal.js is a</w:t>
      </w:r>
      <w:r>
        <w:t xml:space="preserve"> </w:t>
      </w:r>
      <w:r>
        <w:t xml:space="preserve">browser-based slide framework that renders slides as web pages), .docx (the</w:t>
      </w:r>
      <w:r>
        <w:t xml:space="preserve"> </w:t>
      </w:r>
      <w:r>
        <w:t xml:space="preserve">Microsoft Word document format), .pptx (the Microsoft PowerPoint slide</w:t>
      </w:r>
      <w:r>
        <w:t xml:space="preserve"> </w:t>
      </w:r>
      <w:r>
        <w:t xml:space="preserve">format), Beamer (a LaTeX-based academic slide format), and an A0-format</w:t>
      </w:r>
      <w:r>
        <w:t xml:space="preserve"> </w:t>
      </w:r>
      <w:r>
        <w:t xml:space="preserve">academic poster, from a single 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2026-06-09T15:46:57Z</dcterms:created>
  <dcterms:modified xsi:type="dcterms:W3CDTF">2026-06-09T15:46:57Z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