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AthDGC: An Open Diachronic Greek Treebank with Indo-European Parallels</w:t>
      </w:r>
    </w:p>
    <w:p>
      <w:pPr>
        <w:pStyle w:val="Subtitle"/>
      </w:pPr>
      <w:r>
        <w:t xml:space="preserve">A formal short data paper for journal submission</w:t>
      </w:r>
    </w:p>
    <w:p>
      <w:pPr>
        <w:pStyle w:val="Author"/>
      </w:pPr>
      <w:r>
        <w:t xml:space="preserve">Nikolaos Lavidas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AthDGC (</w:t>
      </w:r>
      <w:r>
        <w:t xml:space="preserve">“Athens-PROIEL”</w:t>
      </w:r>
      <w:r>
        <w:t xml:space="preserve">) is an open, end-to-end pipeline and dataset that</w:t>
      </w:r>
      <w:r>
        <w:t xml:space="preserve"> </w:t>
      </w:r>
      <w:r>
        <w:t xml:space="preserve">provides the first continuously updated, dependency-parsed treebank of the</w:t>
      </w:r>
      <w:r>
        <w:t xml:space="preserve"> </w:t>
      </w:r>
      <w:r>
        <w:t xml:space="preserve">entire Greek language - from Homeric and Archaic texts to Modern Greek -</w:t>
      </w:r>
      <w:r>
        <w:t xml:space="preserve"> </w:t>
      </w:r>
      <w:r>
        <w:t xml:space="preserve">with cross-lingual alignment to Latin (Vulgate), Gothic (Wulfila), Old Church</w:t>
      </w:r>
      <w:r>
        <w:t xml:space="preserve"> </w:t>
      </w:r>
      <w:r>
        <w:t xml:space="preserve">Slavonic (Marianus), and Classical Armenian via the verse-level</w:t>
      </w:r>
      <w:r>
        <w:t xml:space="preserve"> </w:t>
      </w:r>
      <w:r>
        <w:t xml:space="preserve">cross-alignment of the New Testament. AthDGC follows the PROIEL XML 2.0</w:t>
      </w:r>
      <w:r>
        <w:t xml:space="preserve"> </w:t>
      </w:r>
      <w:r>
        <w:t xml:space="preserve">schema, uses the Stanford Stanza PROIEL-trained pipeline for annotation, and</w:t>
      </w:r>
      <w:r>
        <w:t xml:space="preserve"> </w:t>
      </w:r>
      <w:r>
        <w:t xml:space="preserve">applies LaBSE sentence embeddings and multilingual-BERT attention for</w:t>
      </w:r>
      <w:r>
        <w:t xml:space="preserve"> </w:t>
      </w:r>
      <w:r>
        <w:t xml:space="preserve">word-level alignment. As of v0.4, the corpus contains 89.9M total rows,</w:t>
      </w:r>
      <w:r>
        <w:t xml:space="preserve"> </w:t>
      </w:r>
      <w:r>
        <w:t xml:space="preserve">4.08M annotated Greek rows, and 6,861 NT-aligned Greek verses cross-aligned</w:t>
      </w:r>
      <w:r>
        <w:t xml:space="preserve"> </w:t>
      </w:r>
      <w:r>
        <w:t xml:space="preserve">to four sister IE witnesses.</w:t>
      </w:r>
    </w:p>
    <w:bookmarkStart w:id="15" w:name="overview"/>
    <w:p>
      <w:pPr>
        <w:pStyle w:val="Heading2"/>
      </w:pPr>
      <w:r>
        <w:t xml:space="preserve">1. Overview</w:t>
      </w:r>
    </w:p>
    <w:bookmarkStart w:id="9" w:name="context-and-motivation"/>
    <w:p>
      <w:pPr>
        <w:pStyle w:val="Heading3"/>
      </w:pPr>
      <w:r>
        <w:t xml:space="preserve">1.1 Context and motivation</w:t>
      </w:r>
    </w:p>
    <w:p>
      <w:pPr>
        <w:pStyle w:val="FirstParagraph"/>
      </w:pPr>
      <w:r>
        <w:t xml:space="preserve">Greek is the longest continuously attested member of the Indo-European family. The PROIEL Treebank</w:t>
      </w:r>
      <w:r>
        <w:t xml:space="preserve"> </w:t>
      </w:r>
      <w:r>
        <w:t xml:space="preserve">(Haug and Jøhndal 2008; Eckhoff et al. 2018)</w:t>
      </w:r>
      <w:r>
        <w:t xml:space="preserve"> </w:t>
      </w:r>
      <w:r>
        <w:t xml:space="preserve">established the gold standard for syntactically annotated parallel</w:t>
      </w:r>
      <w:r>
        <w:t xml:space="preserve"> </w:t>
      </w:r>
      <w:r>
        <w:t xml:space="preserve">Indo-European Bible corpora, but its scope is restricted to the New Testament and to a small</w:t>
      </w:r>
      <w:r>
        <w:t xml:space="preserve"> </w:t>
      </w:r>
      <w:r>
        <w:t xml:space="preserve">number of language witnesses. No openly licensed, end-to-end pipeline currently covers the</w:t>
      </w:r>
      <w:r>
        <w:t xml:space="preserve"> </w:t>
      </w:r>
      <w:r>
        <w:t xml:space="preserve">full diachronic record of Greek at the same level of annotation, with explicit argument-structure</w:t>
      </w:r>
      <w:r>
        <w:t xml:space="preserve"> </w:t>
      </w:r>
      <w:r>
        <w:t xml:space="preserve">tagging, and with reproducible cross-lingual alignment to its sister IE languages. AthDGC closes</w:t>
      </w:r>
      <w:r>
        <w:t xml:space="preserve"> </w:t>
      </w:r>
      <w:r>
        <w:t xml:space="preserve">that gap.</w:t>
      </w:r>
    </w:p>
    <w:p>
      <w:pPr>
        <w:pStyle w:val="BodyText"/>
      </w:pPr>
      <w:r>
        <w:t xml:space="preserve">The project’s specific scholarly focus is</w:t>
      </w:r>
      <w:r>
        <w:t xml:space="preserve"> </w:t>
      </w:r>
      <w:r>
        <w:rPr>
          <w:i/>
          <w:iCs/>
        </w:rPr>
        <w:t xml:space="preserve">retranslation</w:t>
      </w:r>
      <w:r>
        <w:t xml:space="preserve">: the same canonical text - the Iliad,</w:t>
      </w:r>
      <w:r>
        <w:t xml:space="preserve"> </w:t>
      </w:r>
      <w:r>
        <w:t xml:space="preserve">the New Testament, the Septuagint Psalms, classical historiography - is re-rendered into Greek</w:t>
      </w:r>
      <w:r>
        <w:t xml:space="preserve"> </w:t>
      </w:r>
      <w:r>
        <w:t xml:space="preserve">across periods (Homeric → Koine → Byzantine → Modern) and into sister languages (Latin, Gothic,</w:t>
      </w:r>
      <w:r>
        <w:t xml:space="preserve"> </w:t>
      </w:r>
      <w:r>
        <w:t xml:space="preserve">OCS, Armenian) across the Indo-European family.</w:t>
      </w:r>
    </w:p>
    <w:bookmarkEnd w:id="9"/>
    <w:bookmarkStart w:id="13" w:name="repository-location"/>
    <w:p>
      <w:pPr>
        <w:pStyle w:val="Heading3"/>
      </w:pPr>
      <w:r>
        <w:t xml:space="preserve">1.2 Repository location</w:t>
      </w:r>
    </w:p>
    <w:p>
      <w:pPr>
        <w:pStyle w:val="Compact"/>
        <w:numPr>
          <w:ilvl w:val="0"/>
          <w:numId w:val="1001"/>
        </w:numPr>
      </w:pPr>
      <w:r>
        <w:t xml:space="preserve">Source code:</w:t>
      </w:r>
      <w:r>
        <w:t xml:space="preserve"> </w:t>
      </w:r>
      <w:hyperlink r:id="rId10">
        <w:r>
          <w:rPr>
            <w:rStyle w:val="Hyperlink"/>
          </w:rPr>
          <w:t xml:space="preserve">https://github.com/AthDGC/Diachronic-Linguistics-Platform</w:t>
        </w:r>
      </w:hyperlink>
    </w:p>
    <w:p>
      <w:pPr>
        <w:pStyle w:val="Compact"/>
        <w:numPr>
          <w:ilvl w:val="0"/>
          <w:numId w:val="1001"/>
        </w:numPr>
      </w:pPr>
      <w:r>
        <w:t xml:space="preserve">Public showcase:</w:t>
      </w:r>
      <w:r>
        <w:t xml:space="preserve"> </w:t>
      </w:r>
      <w:hyperlink r:id="rId11">
        <w:r>
          <w:rPr>
            <w:rStyle w:val="Hyperlink"/>
          </w:rPr>
          <w:t xml:space="preserve">https://athdgc.github.io</w:t>
        </w:r>
      </w:hyperlink>
    </w:p>
    <w:p>
      <w:pPr>
        <w:pStyle w:val="Compact"/>
        <w:numPr>
          <w:ilvl w:val="0"/>
          <w:numId w:val="1001"/>
        </w:numPr>
      </w:pPr>
      <w:r>
        <w:t xml:space="preserve">Zenodo deposition:</w:t>
      </w:r>
      <w:r>
        <w:t xml:space="preserve"> </w:t>
      </w:r>
      <w:hyperlink r:id="rId12">
        <w:r>
          <w:rPr>
            <w:rStyle w:val="Hyperlink"/>
          </w:rPr>
          <w:t xml:space="preserve">10.5281/zenodo.20439182</w:t>
        </w:r>
      </w:hyperlink>
    </w:p>
    <w:bookmarkEnd w:id="13"/>
    <w:bookmarkStart w:id="14" w:name="institutional-context"/>
    <w:p>
      <w:pPr>
        <w:pStyle w:val="Heading3"/>
      </w:pPr>
      <w:r>
        <w:t xml:space="preserve">1.3 Institutional context</w:t>
      </w:r>
    </w:p>
    <w:p>
      <w:pPr>
        <w:pStyle w:val="FirstParagraph"/>
      </w:pPr>
      <w:r>
        <w:t xml:space="preserve">AthDGC is developed at the</w:t>
      </w:r>
      <w:r>
        <w:t xml:space="preserve"> </w:t>
      </w:r>
      <w:r>
        <w:rPr>
          <w:b/>
          <w:bCs/>
        </w:rPr>
        <w:t xml:space="preserve">National and Kapodistrian University of Athens (EKPA)</w:t>
      </w:r>
      <w:r>
        <w:t xml:space="preserve">, Division of</w:t>
      </w:r>
      <w:r>
        <w:t xml:space="preserve"> </w:t>
      </w:r>
      <w:r>
        <w:t xml:space="preserve">Language-Linguistics, Department of English Language and Literature, School of Philosophy, under</w:t>
      </w:r>
      <w:r>
        <w:t xml:space="preserve"> </w:t>
      </w:r>
      <w:r>
        <w:t xml:space="preserve">the direction of Prof. Nikolaos Lavidas. Compute is supplied by GRNET ARIS, 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.</w:t>
      </w:r>
    </w:p>
    <w:bookmarkEnd w:id="14"/>
    <w:bookmarkEnd w:id="15"/>
    <w:bookmarkStart w:id="22" w:name="method"/>
    <w:p>
      <w:pPr>
        <w:pStyle w:val="Heading2"/>
      </w:pPr>
      <w:r>
        <w:t xml:space="preserve">2. Method</w:t>
      </w:r>
    </w:p>
    <w:bookmarkStart w:id="16" w:name="discovery"/>
    <w:p>
      <w:pPr>
        <w:pStyle w:val="Heading3"/>
      </w:pPr>
      <w:r>
        <w:t xml:space="preserve">2.1 Discovery</w:t>
      </w:r>
    </w:p>
    <w:p>
      <w:pPr>
        <w:pStyle w:val="FirstParagraph"/>
      </w:pPr>
      <w:r>
        <w:t xml:space="preserve">Each day, the discovery stage probes open-access repositories - archive.org, Perseus Digital</w:t>
      </w:r>
      <w:r>
        <w:t xml:space="preserve"> </w:t>
      </w:r>
      <w:r>
        <w:t xml:space="preserve">Library, First1K Greek, Wikisource, the Diorisis Corpus, OpenGreekAndLatin/PerseusDL - for new</w:t>
      </w:r>
      <w:r>
        <w:t xml:space="preserve"> </w:t>
      </w:r>
      <w:r>
        <w:t xml:space="preserve">or updated Greek and parallel-language source material.</w:t>
      </w:r>
    </w:p>
    <w:bookmarkEnd w:id="16"/>
    <w:bookmarkStart w:id="17" w:name="filtering"/>
    <w:p>
      <w:pPr>
        <w:pStyle w:val="Heading3"/>
      </w:pPr>
      <w:r>
        <w:t xml:space="preserve">2.2 Filtering</w:t>
      </w:r>
    </w:p>
    <w:p>
      <w:pPr>
        <w:pStyle w:val="FirstParagraph"/>
      </w:pPr>
      <w:r>
        <w:t xml:space="preserve">Candidate texts are filtered by Greek-script ratio (at least 75% of alphabetic characters in the Greek</w:t>
      </w:r>
      <w:r>
        <w:t xml:space="preserve"> </w:t>
      </w:r>
      <w:r>
        <w:t xml:space="preserve">Unicode blocks), a Path-B line filter for bilingual editorial apparatus, and content-hash</w:t>
      </w:r>
      <w:r>
        <w:t xml:space="preserve"> </w:t>
      </w:r>
      <w:r>
        <w:t xml:space="preserve">deduplication.</w:t>
      </w:r>
    </w:p>
    <w:bookmarkEnd w:id="17"/>
    <w:bookmarkStart w:id="18" w:name="conversion"/>
    <w:p>
      <w:pPr>
        <w:pStyle w:val="Heading3"/>
      </w:pPr>
      <w:r>
        <w:t xml:space="preserve">2.3 Conversion</w:t>
      </w:r>
    </w:p>
    <w:p>
      <w:pPr>
        <w:pStyle w:val="FirstParagraph"/>
      </w:pPr>
      <w:r>
        <w:t xml:space="preserve">Surviving text is converted into the PROIEL XML 2.0 schema with sentence-level structure.</w:t>
      </w:r>
    </w:p>
    <w:bookmarkEnd w:id="18"/>
    <w:bookmarkStart w:id="19" w:name="annotation"/>
    <w:p>
      <w:pPr>
        <w:pStyle w:val="Heading3"/>
      </w:pPr>
      <w:r>
        <w:t xml:space="preserve">2.4 Annotation</w:t>
      </w:r>
    </w:p>
    <w:p>
      <w:pPr>
        <w:pStyle w:val="FirstParagraph"/>
      </w:pPr>
      <w:r>
        <w:t xml:space="preserve">Annotation is performed sentence by sentence with the Stanford Stanza pipeline</w:t>
      </w:r>
      <w:r>
        <w:t xml:space="preserve"> </w:t>
      </w:r>
      <w:r>
        <w:t xml:space="preserve">(Qi et al. 2020)</w:t>
      </w:r>
      <w:r>
        <w:t xml:space="preserve"> </w:t>
      </w:r>
      <w:r>
        <w:t xml:space="preserve">using</w:t>
      </w:r>
      <w:r>
        <w:t xml:space="preserve"> </w:t>
      </w:r>
      <w:r>
        <w:t xml:space="preserve">the PROIEL-trained model</w:t>
      </w:r>
      <w:r>
        <w:t xml:space="preserve"> </w:t>
      </w:r>
      <w:r>
        <w:rPr>
          <w:rStyle w:val="VerbatimChar"/>
        </w:rPr>
        <w:t xml:space="preserve">grc_proiel</w:t>
      </w:r>
      <w:r>
        <w:t xml:space="preserve">. Analogous PROIEL-trained Stanza models are used for Latin</w:t>
      </w:r>
      <w:r>
        <w:t xml:space="preserve"> </w:t>
      </w:r>
      <w:r>
        <w:t xml:space="preserve">(</w:t>
      </w:r>
      <w:r>
        <w:rPr>
          <w:rStyle w:val="VerbatimChar"/>
        </w:rPr>
        <w:t xml:space="preserve">la_proiel</w:t>
      </w:r>
      <w:r>
        <w:t xml:space="preserve">), Old Church Slavonic (</w:t>
      </w:r>
      <w:r>
        <w:rPr>
          <w:rStyle w:val="VerbatimChar"/>
        </w:rPr>
        <w:t xml:space="preserve">cu_proiel</w:t>
      </w:r>
      <w:r>
        <w:t xml:space="preserve">), and Gothic (</w:t>
      </w:r>
      <w:r>
        <w:rPr>
          <w:rStyle w:val="VerbatimChar"/>
        </w:rPr>
        <w:t xml:space="preserve">got_proiel</w:t>
      </w:r>
      <w:r>
        <w:t xml:space="preserve">); Classical Armenian</w:t>
      </w:r>
      <w:r>
        <w:t xml:space="preserve"> </w:t>
      </w:r>
      <w:r>
        <w:t xml:space="preserve">is annotated through a PROIEL-style pipeline currently under development. All output is</w:t>
      </w:r>
      <w:r>
        <w:t xml:space="preserve"> </w:t>
      </w:r>
      <w:r>
        <w:t xml:space="preserve">normalised to the PROIEL XML 2.0 schema; no CoNLL-U or other format is published.</w:t>
      </w:r>
    </w:p>
    <w:bookmarkEnd w:id="19"/>
    <w:bookmarkStart w:id="20" w:name="argument-structure-capture"/>
    <w:p>
      <w:pPr>
        <w:pStyle w:val="Heading3"/>
      </w:pPr>
      <w:r>
        <w:t xml:space="preserve">2.5 Argument-structure capture</w:t>
      </w:r>
    </w:p>
    <w:p>
      <w:pPr>
        <w:pStyle w:val="FirstParagraph"/>
      </w:pPr>
      <w:r>
        <w:t xml:space="preserve">Beyond standard dependency annotation, AthDGC extracts an explicit argument-structure frame for</w:t>
      </w:r>
      <w:r>
        <w:t xml:space="preserve"> </w:t>
      </w:r>
      <w:r>
        <w:t xml:space="preserve">every verb token: the subject (</w:t>
      </w:r>
      <w:r>
        <w:rPr>
          <w:rStyle w:val="VerbatimChar"/>
        </w:rPr>
        <w:t xml:space="preserve">nsubj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nsubj:pass</w:t>
      </w:r>
      <w:r>
        <w:t xml:space="preserve">), direct object (</w:t>
      </w:r>
      <w:r>
        <w:rPr>
          <w:rStyle w:val="VerbatimChar"/>
        </w:rPr>
        <w:t xml:space="preserve">obj</w:t>
      </w:r>
      <w:r>
        <w:t xml:space="preserve">), indirect / oblique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iobj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obl:arg</w:t>
      </w:r>
      <w:r>
        <w:t xml:space="preserve">), voice (active / middle / passive), and aspect (perfective /</w:t>
      </w:r>
      <w:r>
        <w:t xml:space="preserve"> </w:t>
      </w:r>
      <w:r>
        <w:t xml:space="preserve">imperfective).</w:t>
      </w:r>
    </w:p>
    <w:bookmarkEnd w:id="20"/>
    <w:bookmarkStart w:id="21" w:name="cross-lingual-alignment"/>
    <w:p>
      <w:pPr>
        <w:pStyle w:val="Heading3"/>
      </w:pPr>
      <w:r>
        <w:t xml:space="preserve">2.6 Cross-lingual alignment</w:t>
      </w:r>
    </w:p>
    <w:p>
      <w:pPr>
        <w:pStyle w:val="FirstParagraph"/>
      </w:pPr>
      <w:r>
        <w:t xml:space="preserve">Sentence-level alignment uses LaBSE embeddings</w:t>
      </w:r>
      <w:r>
        <w:t xml:space="preserve"> </w:t>
      </w:r>
      <w:r>
        <w:t xml:space="preserve">(Feng et al. 2022)</w:t>
      </w:r>
      <w:r>
        <w:t xml:space="preserve">; word-level alignment uses</w:t>
      </w:r>
      <w:r>
        <w:t xml:space="preserve"> </w:t>
      </w:r>
      <w:r>
        <w:t xml:space="preserve">multilingual-BERT attention via the AwesomeAlign procedure</w:t>
      </w:r>
      <w:r>
        <w:t xml:space="preserve"> </w:t>
      </w:r>
      <w:r>
        <w:t xml:space="preserve">(Dou and Neubig 2021)</w:t>
      </w:r>
      <w:r>
        <w:t xml:space="preserve">. Phonetic cognate scoring</w:t>
      </w:r>
      <w:r>
        <w:t xml:space="preserve"> </w:t>
      </w:r>
      <w:r>
        <w:t xml:space="preserve">uses ASJP sound-class encoding and LingPy edit distance</w:t>
      </w:r>
      <w:r>
        <w:t xml:space="preserve"> </w:t>
      </w:r>
      <w:r>
        <w:t xml:space="preserve">(List 2014)</w:t>
      </w:r>
      <w:r>
        <w:t xml:space="preserve">.</w:t>
      </w:r>
    </w:p>
    <w:bookmarkEnd w:id="21"/>
    <w:bookmarkEnd w:id="22"/>
    <w:bookmarkStart w:id="30" w:name="dataset-description"/>
    <w:p>
      <w:pPr>
        <w:pStyle w:val="Heading2"/>
      </w:pPr>
      <w:r>
        <w:t xml:space="preserve">3. Dataset description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 name</w:t>
            </w:r>
          </w:p>
        </w:tc>
        <w:tc>
          <w:tcPr/>
          <w:p>
            <w:pPr>
              <w:pStyle w:val="Compact"/>
            </w:pPr>
            <w:r>
              <w:t xml:space="preserve">AthDGC corpus, v0.4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PROIEL XML 2.0 (primary); JSONL 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Creation dates</w:t>
            </w:r>
          </w:p>
        </w:tc>
        <w:tc>
          <w:tcPr/>
          <w:p>
            <w:pPr>
              <w:pStyle w:val="Compact"/>
            </w:pPr>
            <w:r>
              <w:t xml:space="preserve">2025-09 o</w:t>
            </w:r>
          </w:p>
        </w:tc>
      </w:tr>
    </w:tbl>
    <w:bookmarkStart w:id="29" w:name="refs"/>
    <w:bookmarkStart w:id="23" w:name="ref-dou2021"/>
    <w:p>
      <w:pPr>
        <w:pStyle w:val="Bibliography"/>
      </w:pPr>
      <w:r>
        <w:t xml:space="preserve">Dou, Zi-Yi, and Graham Neubig. 2021.</w:t>
      </w:r>
      <w:r>
        <w:t xml:space="preserve"> </w:t>
      </w:r>
      <w:r>
        <w:t xml:space="preserve">“Word Alignment by Fine-Tuning Embeddings on Parallel Corpora.”</w:t>
      </w:r>
      <w:r>
        <w:t xml:space="preserve"> </w:t>
      </w:r>
      <w:r>
        <w:rPr>
          <w:i/>
          <w:iCs/>
        </w:rPr>
        <w:t xml:space="preserve">Proceedings of EACL 2021</w:t>
      </w:r>
      <w:r>
        <w:t xml:space="preserve">.</w:t>
      </w:r>
    </w:p>
    <w:bookmarkEnd w:id="23"/>
    <w:bookmarkStart w:id="24" w:name="ref-eckhoff2018"/>
    <w:p>
      <w:pPr>
        <w:pStyle w:val="Bibliography"/>
      </w:pPr>
      <w:r>
        <w:t xml:space="preserve">Eckhoff, Hanne M., Kristin Bech, Gerlof Bouma, et al. 2018.</w:t>
      </w:r>
      <w:r>
        <w:t xml:space="preserve"> </w:t>
      </w:r>
      <w:r>
        <w:t xml:space="preserve">“The</w:t>
      </w:r>
      <w:r>
        <w:t xml:space="preserve"> </w:t>
      </w:r>
      <w:r>
        <w:t xml:space="preserve">PROIEL</w:t>
      </w:r>
      <w:r>
        <w:t xml:space="preserve"> </w:t>
      </w:r>
      <w:r>
        <w:t xml:space="preserve">Treebank Family: A Standard for Early Attestations of</w:t>
      </w:r>
      <w:r>
        <w:t xml:space="preserve"> </w:t>
      </w:r>
      <w:r>
        <w:t xml:space="preserve">Indo-European</w:t>
      </w:r>
      <w:r>
        <w:t xml:space="preserve"> </w:t>
      </w:r>
      <w:r>
        <w:t xml:space="preserve">Languages.”</w:t>
      </w:r>
      <w:r>
        <w:t xml:space="preserve"> </w:t>
      </w:r>
      <w:r>
        <w:rPr>
          <w:i/>
          <w:iCs/>
        </w:rPr>
        <w:t xml:space="preserve">Language Resources and Evaluation</w:t>
      </w:r>
      <w:r>
        <w:t xml:space="preserve"> </w:t>
      </w:r>
      <w:r>
        <w:t xml:space="preserve">52 (1): 29–65.</w:t>
      </w:r>
    </w:p>
    <w:bookmarkEnd w:id="24"/>
    <w:bookmarkStart w:id="25" w:name="ref-feng2022"/>
    <w:p>
      <w:pPr>
        <w:pStyle w:val="Bibliography"/>
      </w:pPr>
      <w:r>
        <w:t xml:space="preserve">Feng, Fangxiaoyu, Yinfei Yang, Daniel Cer, Naveen Arivazhagan, and Wei Wang. 2022.</w:t>
      </w:r>
      <w:r>
        <w:t xml:space="preserve"> </w:t>
      </w:r>
      <w:r>
        <w:t xml:space="preserve">“Language-Agnostic</w:t>
      </w:r>
      <w:r>
        <w:t xml:space="preserve"> </w:t>
      </w:r>
      <w:r>
        <w:t xml:space="preserve">BERT</w:t>
      </w:r>
      <w:r>
        <w:t xml:space="preserve"> </w:t>
      </w:r>
      <w:r>
        <w:t xml:space="preserve">Sentence Embedding.”</w:t>
      </w:r>
      <w:r>
        <w:t xml:space="preserve"> </w:t>
      </w:r>
      <w:r>
        <w:rPr>
          <w:i/>
          <w:iCs/>
        </w:rPr>
        <w:t xml:space="preserve">Proceedings of ACL 2022</w:t>
      </w:r>
      <w:r>
        <w:t xml:space="preserve">.</w:t>
      </w:r>
    </w:p>
    <w:bookmarkEnd w:id="25"/>
    <w:bookmarkStart w:id="26" w:name="ref-haug2008"/>
    <w:p>
      <w:pPr>
        <w:pStyle w:val="Bibliography"/>
      </w:pPr>
      <w:r>
        <w:t xml:space="preserve">Haug, Dag T. T., and Marius Jøhndal. 2008.</w:t>
      </w:r>
      <w:r>
        <w:t xml:space="preserve"> </w:t>
      </w:r>
      <w:r>
        <w:t xml:space="preserve">“Creating a Parallel Treebank of the Old</w:t>
      </w:r>
      <w:r>
        <w:t xml:space="preserve"> </w:t>
      </w:r>
      <w:r>
        <w:t xml:space="preserve">Indo-European</w:t>
      </w:r>
      <w:r>
        <w:t xml:space="preserve"> </w:t>
      </w:r>
      <w:r>
        <w:t xml:space="preserve">Bible</w:t>
      </w:r>
      <w:r>
        <w:t xml:space="preserve"> </w:t>
      </w:r>
      <w:r>
        <w:t xml:space="preserve">Translations.”</w:t>
      </w:r>
      <w:r>
        <w:t xml:space="preserve"> </w:t>
      </w:r>
      <w:r>
        <w:rPr>
          <w:i/>
          <w:iCs/>
        </w:rPr>
        <w:t xml:space="preserve">Proceedings of the Second Workshop on Language Technology for Cultural Heritage Data (LaTeCH 2008)</w:t>
      </w:r>
      <w:r>
        <w:t xml:space="preserve">.</w:t>
      </w:r>
    </w:p>
    <w:bookmarkEnd w:id="26"/>
    <w:bookmarkStart w:id="27" w:name="ref-list2014"/>
    <w:p>
      <w:pPr>
        <w:pStyle w:val="Bibliography"/>
      </w:pPr>
      <w:r>
        <w:t xml:space="preserve">List, Johann-Mattis. 2014.</w:t>
      </w:r>
      <w:r>
        <w:t xml:space="preserve"> </w:t>
      </w:r>
      <w:r>
        <w:rPr>
          <w:i/>
          <w:iCs/>
        </w:rPr>
        <w:t xml:space="preserve">Sequence Comparison in Historical Linguistics</w:t>
      </w:r>
      <w:r>
        <w:t xml:space="preserve">. D</w:t>
      </w:r>
      <w:r>
        <w:t xml:space="preserve">ü</w:t>
      </w:r>
      <w:r>
        <w:t xml:space="preserve">sseldorf University Press.</w:t>
      </w:r>
    </w:p>
    <w:bookmarkEnd w:id="27"/>
    <w:bookmarkStart w:id="28" w:name="ref-qi2020"/>
    <w:p>
      <w:pPr>
        <w:pStyle w:val="Bibliography"/>
      </w:pPr>
      <w:r>
        <w:t xml:space="preserve">Qi, Peng, Yuhao Zhang, Yuhui Zhang, Jason Bolton, and Christopher D. Manning. 2020.</w:t>
      </w:r>
      <w:r>
        <w:t xml:space="preserve"> </w:t>
      </w:r>
      <w:r>
        <w:t xml:space="preserve">“</w:t>
      </w:r>
      <w:r>
        <w:t xml:space="preserve">Stanza</w:t>
      </w:r>
      <w:r>
        <w:t xml:space="preserve">: A</w:t>
      </w:r>
      <w:r>
        <w:t xml:space="preserve"> </w:t>
      </w:r>
      <w:r>
        <w:t xml:space="preserve">Python</w:t>
      </w:r>
      <w:r>
        <w:t xml:space="preserve"> </w:t>
      </w:r>
      <w:r>
        <w:t xml:space="preserve">Natural Language Processing Toolkit for Many Human Languages.”</w:t>
      </w:r>
      <w:r>
        <w:t xml:space="preserve"> </w:t>
      </w:r>
      <w:r>
        <w:rPr>
          <w:i/>
          <w:iCs/>
        </w:rPr>
        <w:t xml:space="preserve">Proceedings of ACL 2020</w:t>
      </w:r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athdgc.github.io" TargetMode="External" /><Relationship Type="http://schemas.openxmlformats.org/officeDocument/2006/relationships/hyperlink" Id="rId12" Target="https://doi.org/10.5281/zenodo.20439182" TargetMode="External" /><Relationship Type="http://schemas.openxmlformats.org/officeDocument/2006/relationships/hyperlink" Id="rId10" Target="https://github.com/AthDGC/Diachronic-Linguistics-Plat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athdgc.github.io" TargetMode="External" /><Relationship Type="http://schemas.openxmlformats.org/officeDocument/2006/relationships/hyperlink" Id="rId12" Target="https://doi.org/10.5281/zenodo.20439182" TargetMode="External" /><Relationship Type="http://schemas.openxmlformats.org/officeDocument/2006/relationships/hyperlink" Id="rId10" Target="https://github.com/AthDGC/Diachronic-Linguistics-Plat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AthDGC: An Open Diachronic Greek Treebank with Indo-European Parallels</dc:title>
  <dc:creator>Nikolaos Lavidas</dc:creator>
  <cp:keywords>diachronic linguistics, ancient Greek, Byzantine Greek, Modern Greek, Indo-European, PROIEL, dependency treebank, cross-lingual alignment, argument structure, retranslation</cp:keywords>
  <dcterms:created xsi:type="dcterms:W3CDTF">2026-05-31T22:04:18Z</dcterms:created>
  <dcterms:modified xsi:type="dcterms:W3CDTF">2026-05-31T22:04:18Z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AthDGC (“Athens-PROIEL”) is an open, end-to-end pipeline and dataset that provides the first continuously updated, dependency-parsed treebank of the entire Greek language - from Homeric and Archaic texts to Modern Greek - with cross-lingual alignment to Latin (Vulgate), Gothic (Wulfila), Old Church Slavonic (Marianus), and Classical Armenian via the verse-level cross-alignment of the New Testament. AthDGC follows the PROIEL XML 2.0 schema, uses the Stanford Stanza PROIEL-trained pipeline for annotation, and applies LaBSE sentence embeddings and multilingual-BERT attention for word-level alignment. As of v0.4, the corpus contains 89.9M total rows, 4.08M annotated Greek rows, and 6,861 NT-aligned Greek verses cross-aligned to four sister IE witnesses.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engines">
    <vt:lpwstr/>
  </property>
  <property fmtid="{D5CDD505-2E9C-101B-9397-08002B2CF9AE}" pid="10" name="funding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subtitle">
    <vt:lpwstr>A formal short data paper for journal submission</vt:lpwstr>
  </property>
  <property fmtid="{D5CDD505-2E9C-101B-9397-08002B2CF9AE}" pid="16" name="toc-title">
    <vt:lpwstr>Table of contents</vt:lpwstr>
  </property>
</Properties>
</file>