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 the PROIEL Treebank</w:t>
      </w:r>
      <w:r>
        <w:t xml:space="preserve"> </w:t>
      </w:r>
      <w:r>
        <w:t xml:space="preserve">Family (Haug &amp; Jøhndal 2008; Eckhoff et al. 2018), which established the</w:t>
      </w:r>
      <w:r>
        <w:t xml:space="preserve"> </w:t>
      </w:r>
      <w:r>
        <w:t xml:space="preserve">schema and the Koine-Greek anchor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2026-06-05T19:31:42Z</dcterms:created>
  <dcterms:modified xsi:type="dcterms:W3CDTF">2026-06-05T19:31:42Z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 the PROIEL Treebank Family (Haug &amp; Jøhndal 2008; Eckhoff et al. 2018), which established the schema and the Koine-Greek anchor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