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Author"/>
      </w:pPr>
      <w:r>
        <w:t xml:space="preserve">Nikolaos Lavidas</w:t>
      </w:r>
      <w:r>
        <w:rPr>
          <w:vertAlign w:val="superscript"/>
        </w:rPr>
        <w:t xml:space="preserve">1</w:t>
      </w:r>
    </w:p>
    <w:p>
      <w:pPr>
        <w:pStyle w:val="Author"/>
      </w:pPr>
      <w:r>
        <w:t xml:space="preserve">Kiki Nikiforidou</w:t>
      </w:r>
      <w:r>
        <w:rPr>
          <w:vertAlign w:val="superscript"/>
        </w:rPr>
        <w:t xml:space="preserve">1</w:t>
      </w:r>
    </w:p>
    <w:p>
      <w:pPr>
        <w:pStyle w:val="Author"/>
      </w:pPr>
      <w:r>
        <w:t xml:space="preserve">Dag Haug</w:t>
      </w:r>
      <w:r>
        <w:rPr>
          <w:vertAlign w:val="superscript"/>
        </w:rPr>
        <w:t xml:space="preserve">2</w:t>
      </w:r>
    </w:p>
    <w:p>
      <w:pPr>
        <w:pStyle w:val="Author"/>
      </w:pPr>
      <w:r>
        <w:t xml:space="preserve">Leonid Kulikov</w:t>
      </w:r>
      <w:r>
        <w:rPr>
          <w:vertAlign w:val="superscript"/>
        </w:rPr>
        <w:t xml:space="preserve">3</w:t>
      </w:r>
    </w:p>
    <w:p>
      <w:pPr>
        <w:pStyle w:val="Author"/>
      </w:pPr>
      <w:r>
        <w:t xml:space="preserve">Vassiliki Geka</w:t>
      </w:r>
      <w:r>
        <w:rPr>
          <w:vertAlign w:val="superscript"/>
        </w:rPr>
        <w:t xml:space="preserve">1</w:t>
      </w:r>
    </w:p>
    <w:p>
      <w:pPr>
        <w:pStyle w:val="Author"/>
      </w:pPr>
      <w:r>
        <w:t xml:space="preserve">Vassileios Symeonidis</w:t>
      </w:r>
      <w:r>
        <w:rPr>
          <w:vertAlign w:val="superscript"/>
        </w:rPr>
        <w:t xml:space="preserve">1</w:t>
      </w:r>
    </w:p>
    <w:p>
      <w:pPr>
        <w:pStyle w:val="Author"/>
      </w:pPr>
      <w:r>
        <w:t xml:space="preserve">Theodoros Michalareas</w:t>
      </w:r>
      <w:r>
        <w:rPr>
          <w:vertAlign w:val="superscript"/>
        </w:rPr>
        <w:t xml:space="preserve">1</w:t>
      </w:r>
    </w:p>
    <w:p>
      <w:pPr>
        <w:pStyle w:val="Author"/>
      </w:pPr>
      <w:r>
        <w:t xml:space="preserve">Sofia Chionidi</w:t>
      </w:r>
      <w:r>
        <w:rPr>
          <w:vertAlign w:val="superscript"/>
        </w:rPr>
        <w:t xml:space="preserve">1</w:t>
      </w:r>
    </w:p>
    <w:p>
      <w:pPr>
        <w:pStyle w:val="Author"/>
      </w:pPr>
      <w:r>
        <w:t xml:space="preserve">Anastasia Tsiropina</w:t>
      </w:r>
      <w:r>
        <w:rPr>
          <w:vertAlign w:val="superscript"/>
        </w:rPr>
        <w:t xml:space="preserve">1</w:t>
      </w:r>
    </w:p>
    <w:p>
      <w:pPr>
        <w:pStyle w:val="Author"/>
      </w:pPr>
      <w:r>
        <w:t xml:space="preserve">Eleni Plakoutsi</w:t>
      </w:r>
      <w:r>
        <w:rPr>
          <w:vertAlign w:val="superscript"/>
        </w:rPr>
        <w:t xml:space="preserve">1</w:t>
      </w:r>
    </w:p>
    <w:p>
      <w:pPr>
        <w:pStyle w:val="Author"/>
      </w:pPr>
      <w:r>
        <w:t xml:space="preserve">Evangelos Argyropoulos</w:t>
      </w:r>
      <w:r>
        <w:rPr>
          <w:vertAlign w:val="superscript"/>
        </w:rPr>
        <w:t xml:space="preserve">1</w:t>
      </w:r>
    </w:p>
    <w:p>
      <w:pPr>
        <w:pStyle w:val="AbstractTitle"/>
      </w:pPr>
      <w:r>
        <w:t xml:space="preserve">Abstract</w:t>
      </w:r>
    </w:p>
    <w:p>
      <w:pPr>
        <w:pStyle w:val="Abstract"/>
      </w:pPr>
      <w:r>
        <w:t xml:space="preserve">AthDGC (“Athens-PROIEL”) is an open, end-to-end workflow and dataset. It provides</w:t>
      </w:r>
      <w:r>
        <w:t xml:space="preserve"> </w:t>
      </w:r>
      <w:r>
        <w:t xml:space="preserve">an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 Old</w:t>
      </w:r>
      <w:r>
        <w:t xml:space="preserve"> </w:t>
      </w:r>
      <w:r>
        <w:t xml:space="preserve">Church Slavonic (Marianus), and Classical Armenian. AthDGC builds on the</w:t>
      </w:r>
      <w:r>
        <w:t xml:space="preserve"> </w:t>
      </w:r>
      <w:r>
        <w:t xml:space="preserve">PROIEL Treebank Family (Haug and Jøhndal 2008, 27–34; Eckhoff et al. 2018,</w:t>
      </w:r>
      <w:r>
        <w:t xml:space="preserve"> </w:t>
      </w:r>
      <w:r>
        <w:t xml:space="preserve">29–65), which established the schema and the Koine-Greek reference set for the</w:t>
      </w:r>
      <w:r>
        <w:t xml:space="preserve"> </w:t>
      </w:r>
      <w:r>
        <w:t xml:space="preserve">project. Annotation uses the Stanford Stanza PROIEL-trained workflow;</w:t>
      </w:r>
      <w:r>
        <w:t xml:space="preserve"> </w:t>
      </w:r>
      <w:r>
        <w:t xml:space="preserve">sentence-level alignment uses LaBSE, a multilingual sentence-embedding model;</w:t>
      </w:r>
      <w:r>
        <w:t xml:space="preserve"> </w:t>
      </w:r>
      <w:r>
        <w:t xml:space="preserve">word-level alignment uses multilingual-BERT attention through the AwesomeAlign</w:t>
      </w:r>
      <w:r>
        <w:t xml:space="preserve"> </w:t>
      </w:r>
      <w:r>
        <w:t xml:space="preserve">procedure. The v0.4 release provides curated samples and the open-source</w:t>
      </w:r>
      <w:r>
        <w:t xml:space="preserve"> </w:t>
      </w:r>
      <w:r>
        <w:t xml:space="preserve">toolkit; the full annotated corpus partitions remain under v0.5 audit on the</w:t>
      </w:r>
      <w:r>
        <w:t xml:space="preserve"> </w:t>
      </w:r>
      <w:r>
        <w:t xml:space="preserve">Greek national HPC. Quantitative scale, per-witness verse counts, and per-</w:t>
      </w:r>
      <w:r>
        <w:t xml:space="preserve"> </w:t>
      </w:r>
      <w:r>
        <w:t xml:space="preserve">period annotated-row counts are reported as the v0.5 release notes, after the</w:t>
      </w:r>
      <w:r>
        <w:t xml:space="preserve"> </w:t>
      </w:r>
      <w:r>
        <w:t xml:space="preserve">audit pass completes.</w:t>
      </w:r>
    </w:p>
    <w:p>
      <w:pPr>
        <w:pStyle w:val="FirstParagraph"/>
      </w:pPr>
      <w:r>
        <w:rPr>
          <w:b/>
          <w:bCs/>
        </w:rPr>
        <w:t xml:space="preserve">Please cite as:</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An Open Diachronic Greek Treebank with Indo-European Parallels</w:t>
      </w:r>
      <w:r>
        <w:t xml:space="preserve">. National and Kapodistrian University of Athens, Athens Digital Glossa Chronos Research Network. Zenodo.</w:t>
      </w:r>
      <w:r>
        <w:t xml:space="preserve"> </w:t>
      </w:r>
      <w:hyperlink r:id="rId9">
        <w:r>
          <w:rPr>
            <w:rStyle w:val="Hyperlink"/>
          </w:rPr>
          <w:t xml:space="preserve">https://doi.org/10.5281/zenodo.20439182</w:t>
        </w:r>
      </w:hyperlink>
      <w:r>
        <w:t xml:space="preserve">.</w:t>
      </w:r>
    </w:p>
    <w:bookmarkStart w:id="15" w:name="overview"/>
    <w:p>
      <w:pPr>
        <w:pStyle w:val="Heading2"/>
      </w:pPr>
      <w:r>
        <w:t xml:space="preserve">1. Overview</w:t>
      </w:r>
    </w:p>
    <w:bookmarkStart w:id="10"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 Iliad,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 (Haug and Jøhndal 2008, 27–34; Eckhoff et al. 2018, 29–65) 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 who does what to whom 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 retranslation: the same canonical text is re-rendered into Greek across periods (Homeric, Koine, Byzantine, Modern) and into sister languages (Latin, Gothic, Old Church Slavonic, Classical Armenian) across the Indo-European family. The platform records these re-renderings as a retelling and retranslation chain (see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 Iliad of 1955, and which collapse under the Byzantine epitome of Tzetzes.</w:t>
      </w:r>
    </w:p>
    <w:bookmarkEnd w:id="10"/>
    <w:bookmarkStart w:id="11" w:name="repository-location"/>
    <w:p>
      <w:pPr>
        <w:pStyle w:val="Heading3"/>
      </w:pPr>
      <w:r>
        <w:t xml:space="preserve">1.2 Repository location</w:t>
      </w:r>
    </w:p>
    <w:p>
      <w:pPr>
        <w:pStyle w:val="FirstParagraph"/>
      </w:pPr>
      <w:r>
        <w:t xml:space="preserve">The public showcase of the platform is hosted at https://athdgc.github.io, and the v0.4.0 source-code snapshot is permanently deposited on Zenodo (an open-access research-data repository operated by CERN, which mints persistent DOIs for each deposit) under concept DOI 10.5281/zenodo.20439182. A concept DOI (a Digital Object Identifier that always resolves to the latest version of a deposited record) is the citation handle that does not change as the project versions advance; per-version DOIs are minted automatically on each release. The source repository AthDGC/Diachronic-Linguistics-Platform on GitHub remains private during the v0.5 audit pass, and becomes public at the v0.5 release, when the consolidated tools/ directory and the verified annotated partitions are in place.</w:t>
      </w:r>
    </w:p>
    <w:bookmarkEnd w:id="11"/>
    <w:bookmarkStart w:id="12" w:name="project-resources-live"/>
    <w:p>
      <w:pPr>
        <w:pStyle w:val="Heading3"/>
      </w:pPr>
      <w:r>
        <w:t xml:space="preserve">1.3 Project resources (live)</w:t>
      </w:r>
    </w:p>
    <w:p>
      <w:pPr>
        <w:pStyle w:val="FirstParagraph"/>
      </w:pPr>
      <w:r>
        <w:t xml:space="preserve">Beyond the public showcase site at https://athdgc.github.io, the project maintains three working resources that track the day-by-day state of the corpus and the manual annotation pass.</w:t>
      </w:r>
    </w:p>
    <w:p>
      <w:pPr>
        <w:pStyle w:val="BodyText"/>
      </w:pPr>
      <w:r>
        <w:t xml:space="preserve">The first is the AthDGC corpus repository, a closed-access GitHub repository at https://github.com/AthDGC/athdgc-corpus that is the canonical Git-managed working location of the AthDGC corpus across the eight Greek diachronic periods and the four Indo-European parallels (with Sanskrit, Old English, Avestan, Old Persian, and Ukrainian queued at v0.7). Access is restricted to the eleven-member team during the v0.4 to v0.5 audit pass; the public release of the annotated partitions follows at v0.5 as a separate Zenodo dataset record under CC-BY-4.0.</w:t>
      </w:r>
    </w:p>
    <w:p>
      <w:pPr>
        <w:pStyle w:val="BodyText"/>
      </w:pPr>
      <w:r>
        <w:t xml:space="preserve">The second is the per-language unique-identifier and metadata register, an Excel-format Google Sheet at https://docs.google.com/spreadsheets/d/1MiXcxAedaHgdnj62q-zTQsS3Q4iGTyQU/edit?gid=997932237 with one sheet per language (grc for Greek, lat for Latin, got for Gothic, chu for Old Church Slavonic, xcl for Classical Armenian, plus the queued IE witnesses). For each sentence in the corpus the register holds the unique identifier, the period assignment, the source archive, the edition, the licence, and the ingestion timestamp; this register is the bridge between the file-level partitions in the corpus repository and the per-sentence annotations in the PROIEL XML 2.0 layer.</w:t>
      </w:r>
    </w:p>
    <w:p>
      <w:pPr>
        <w:pStyle w:val="BodyText"/>
      </w:pPr>
      <w:r>
        <w:t xml:space="preserve">The third is the live PROIEL annotation interface at https://dialing.enl.uoa.gr/proiel/, hosted at the National and Kapodistrian University of Athens (Division of Language-Linguistics, Department of English Language and Literature, School of Philosophy). This is the PROIEL XML 2.0 annotation web platform on which the AthDGC team performs and reviews the manual layer of PROIEL annotations on top of the Stanford Stanza pre-annotation pass, and on which the showcase samples published at https://athdgc.github.io are queried.</w:t>
      </w:r>
    </w:p>
    <w:bookmarkEnd w:id="12"/>
    <w:bookmarkStart w:id="13" w:name="institutional-context"/>
    <w:p>
      <w:pPr>
        <w:pStyle w:val="Heading3"/>
      </w:pPr>
      <w:r>
        <w:t xml:space="preserve">1.4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 pa260305.</w:t>
      </w:r>
    </w:p>
    <w:bookmarkEnd w:id="13"/>
    <w:bookmarkStart w:id="14" w:name="Xb9ebaa1b36320a00ddcf1cca137d7258b17edff"/>
    <w:p>
      <w:pPr>
        <w:pStyle w:val="Heading3"/>
      </w:pPr>
      <w:r>
        <w:t xml:space="preserve">1.5 Origin of the diachronic-Greek PROIEL line, Thessaloniki and Oslo, 2012</w:t>
      </w:r>
    </w:p>
    <w:p>
      <w:pPr>
        <w:pStyle w:val="FirstParagraph"/>
      </w:pPr>
      <w:r>
        <w:t xml:space="preserve">The diachronic-Greek PROIEL line that AthDGC continues began in 2012 as a Thessaloniki and Oslo collaboration between Prof. Dag Trygve Truslew Haug (University of Oslo, PROIEL Project Director) and Nikolaos Lavidas, then at the University of Thessaloniki. The first joint anchor text was George Sphrantzes,</w:t>
      </w:r>
      <w:r>
        <w:t xml:space="preserve"> </w:t>
      </w:r>
      <w:r>
        <w:rPr>
          <w:i/>
          <w:iCs/>
        </w:rPr>
        <w:t xml:space="preserve">Chronicon Sive Minus</w:t>
      </w:r>
      <w:r>
        <w:t xml:space="preserve"> </w:t>
      </w:r>
      <w:r>
        <w:t xml:space="preserve">(Chronicles, post-1453, ed. Grecu 1966), the principal historiographic account of the Fall of Constantinople and the only post-Koine, Late-Byzantine Greek text in the original PROIEL release series. The annotated edition was published in PROIEL Release 20180408 under CC-BY-NC-SA 4.0, with principal investigators Dag Trygve Truslew Haug and Nikolaos Lavidas, and funding from the University of Oslo and the University of Thessaloniki. The annotation and review team comprised Þorsteinn Vilhjálmsson, Anastasia Michali, Maria Geramani, Evgenia Klidona, Athina Papadopoulou, and Dag Haug. The release is available at the PROIEL Treebank GitHub repository at https://github.com/proiel/proiel-treebank and is browsable sentence by sentence at https://syntacticus.org under source identifier proiel:20180408:chron (for example, https://syntacticus.org/sentence/proiel:20180408:chron:89063). The Oslo side of the collaboration is housed in the Foni research group in linguistics (Forskergruppe i lingvistikk) at the Department of Philosophy, Classics, History of Art and Ideas, University of Oslo.</w:t>
      </w:r>
    </w:p>
    <w:p>
      <w:pPr>
        <w:pStyle w:val="BodyText"/>
      </w:pPr>
      <w:r>
        <w:t xml:space="preserve">The Sphrantzes Chronicle is therefore the historical hinge between the original PROIEL programme and AthDGC. PROIEL covered Greek up to the Koine of the New Testament, with Sphrantzes as the lone post-Koine, Late-Byzantine extension. AthDGC takes that extension as a starting point and carries it through the entire Greek diachronic span (Archaic, Classical, Koine, Late Antique, Byzantine, Late Byzantine, Early Modern, Modern), under the same PROIEL XML 2.0 schema and the same relation inventory. The 2012 Thessaloniki and Oslo collaboration thus continues today, with the same PROIEL Project Director (Prof. Dag T. T. Haug, Oslo) and the same Greek PI (Prof. Nikolaos Lavidas), now at the National and Kapodistrian University of Athens, funded by HFRI Project No. 20577 and the Greece 2.0 National Recovery and Resilience Plan, and supported by GRNET ARIS allocation pa260305.</w:t>
      </w:r>
    </w:p>
    <w:bookmarkEnd w:id="14"/>
    <w:bookmarkEnd w:id="15"/>
    <w:bookmarkStart w:id="22"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 Iliad, μῆνιν ἄειδε θεὰ Πηληϊάδεω Ἀχιλῆος (“Wrath sing, goddess, of Peleiades Achilles”), so that the reader can follow the same sentence from raw input to a fully annotated and cross-aligned record.</w:t>
      </w:r>
    </w:p>
    <w:bookmarkStart w:id="16"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 Iliad worked example, the discovery stage retrieves the Homeric text from the Perseus Digital Library through its CTS URN (Canonical Text Services Uniform Resource Name, a standard identifier scheme used by classical-text repositories for referring to a specific edition of a specific work), urn:cts:greekLit:tlg0012.tlg001, together with the Kakridis-Kazantzakis 1955 prose translation, mirrored on Wikisource, and the Tzetzes Byzantine epitome from Bibliotheca Augustana.</w:t>
      </w:r>
    </w:p>
    <w:bookmarkEnd w:id="16"/>
    <w:bookmarkStart w:id="17"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v0.5 release notes will report per-archive rejection statistics.</w:t>
      </w:r>
    </w:p>
    <w:bookmarkEnd w:id="17"/>
    <w:bookmarkStart w:id="18"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t xml:space="preserve"> </w:t>
      </w:r>
      <w:r>
        <w:t xml:space="preserve">element, each token wrapped in a</w:t>
      </w:r>
      <w:r>
        <w:t xml:space="preserve"> </w:t>
      </w:r>
      <w:r>
        <w:t xml:space="preserve"> </w:t>
      </w:r>
      <w:r>
        <w:t xml:space="preserve">element, and every token carrying attributes for its form, lemma, part-of-speech tag (pos), ten-character morphological tag (morphology), syntactic head identifier (head-id), and dependency relation to that head (relation). For the worked example, the conversion stage produces a</w:t>
      </w:r>
      <w:r>
        <w:t xml:space="preserve"> </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8"/>
    <w:bookmarkStart w:id="19" w:name="annotation"/>
    <w:p>
      <w:pPr>
        <w:pStyle w:val="Heading3"/>
      </w:pPr>
      <w:r>
        <w:t xml:space="preserve">2.4 Annotation</w:t>
      </w:r>
    </w:p>
    <w:p>
      <w:pPr>
        <w:pStyle w:val="FirstParagraph"/>
      </w:pPr>
      <w:r>
        <w:t xml:space="preserve">Annotation is performed sentence by sentence with the Stanford Stanza processor (Qi et al. 2020, 101–8). Stanza (Stanford’s open-source Python toolkit for automatic linguistic annotation, which performs tokenisation, lemmatisation, part-of-speech tagging, morphological analysis, and dependency parsing in a single workflow) provides PROIEL-trained models for several of the older Indo-European languages: grc_proiel for Koine Greek, la_proiel for Latin, cu_proiel for Old Church Slavonic, and got_proiel 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 Nb, morphology Nb-s—fa- (a noun, singular, feminine, accusative), head identifier 2, and relation obj (direct object). The verb ἄειδε receives lemma ἀείδω, part-of-speech V-, morphology V-spia— (verb, second person singular, present, imperative, active), head identifier 0 (sentence root), and relation pred (predicate).</w:t>
      </w:r>
    </w:p>
    <w:bookmarkEnd w:id="19"/>
    <w:bookmarkStart w:id="20"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(sub, including the raised patterns xobj for raising objects and nonsub for non-subject controllers), the direct object (obj), the indirect and oblique arguments (iobj for indirect object, obl for oblique), the vocative addressee (voc), the voice (active, middle, or passive), and the aspect (perfective or imperfective). For the worked example, the verb ἄειδε receives the frame [sub:imp.2sg, obj:μῆνιν(acc.sg.f), voc:θεὰ(voc.sg.f), voice:active, aspect:imperfective]. This frame is the unit on which downstream queries operate: a diachronic researcher can ask, for instance, across the Iliad reception, does the verb of singing retain its direct-object case-marking through the Byzantine epitome and the Modern Greek prose translation, or does it switch to a prepositional phrase? and receive an answer that does not require manual re-reading of the texts.</w:t>
      </w:r>
    </w:p>
    <w:bookmarkEnd w:id="20"/>
    <w:bookmarkStart w:id="21" w:name="cross-lingual-alignment"/>
    <w:p>
      <w:pPr>
        <w:pStyle w:val="Heading3"/>
      </w:pPr>
      <w:r>
        <w:t xml:space="preserve">2.6 Cross-lingual alignment</w:t>
      </w:r>
    </w:p>
    <w:p>
      <w:pPr>
        <w:pStyle w:val="FirstParagraph"/>
      </w:pPr>
      <w:r>
        <w:t xml:space="preserve">Sentence-level alignment uses LaBSE embeddings (Feng et al. 2022, 878–91).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21"/>
    <w:bookmarkEnd w:id="22"/>
    <w:bookmarkStart w:id="29"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t xml:space="preserve">grc (Ancient Greek), gkm (Medieval Greek), ell (Modern Greek), with parallels in lat, got, chu, xcl; queued for v0.7: san, ang, ave, peo, 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t xml:space="preserve">AthDGC/Diachronic-Linguistics-Platform on GitHub (private during v0.5 audit; public at v0.5)</w:t>
            </w:r>
          </w:p>
        </w:tc>
      </w:tr>
      <w:tr>
        <w:tc>
          <w:tcPr/>
          <w:p>
            <w:pPr>
              <w:pStyle w:val="Compact"/>
            </w:pPr>
            <w:r>
              <w:t xml:space="preserve">Concept DOI</w:t>
            </w:r>
          </w:p>
        </w:tc>
        <w:tc>
          <w:tcPr/>
          <w:p>
            <w:pPr>
              <w:pStyle w:val="Compact"/>
            </w:pPr>
            <w:r>
              <w:t xml:space="preserve">10.5281/zenodo.20439182</w:t>
            </w:r>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release at v0.5</w:t>
            </w:r>
          </w:p>
        </w:tc>
      </w:tr>
    </w:tbl>
    <w:bookmarkStart w:id="25"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3"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3"/>
    <w:bookmarkStart w:id="24"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4"/>
    <w:bookmarkEnd w:id="25"/>
    <w:bookmarkStart w:id="26"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t xml:space="preserve">xcl_proiel (in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t xml:space="preserve">sa_vedic (queued)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t xml:space="preserve">ang_proiel (queued)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t xml:space="preserve">ae_proiel (queued)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t xml:space="preserve">peo_proiel (queued)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t xml:space="preserve">uk_dep 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be reported in the v0.5 release notes once the ARIS audit pass closes. Accordingly, the v0.4 release provides the curated samples on the Samples page rather than full per-witness counts.</w:t>
      </w:r>
    </w:p>
    <w:bookmarkEnd w:id="26"/>
    <w:bookmarkStart w:id="27"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 Iliad 1.1 across reception (Homer, Tzetzes, Kazantzakis), the Septuagint Psalm 1:1 across Greek periods, the New Testament John 1:1 patristic and Modern reception, the Plato Apology 17a across reception, and the Septuagint Genesis 1:1 across four Indo-European languages. We present the Iliad 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(obj, accusative singular feminine), ἄειδε the predicate (imperative second person singular, active, imperfective), θεὰ the vocative addressee (voc), and the genitive pair Πηληϊάδεω Ἀχιλῆος a coordinated attribute (atr) hanging from the object noun. The argument-structure frame of the verb is [sub:imp.2sg, obj:μῆνιν, voc:θεὰ, voice:active, aspect:imperfective], and the frame signature [obj:acc, voc:voc] 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 [obj:acc, voc:voc] 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 Iliad. Under AthDGC annotation, the wrath remains a direct object in the Modern Greek accusative, the vocative of the goddess is restored, and the verb of singing returns. The characteristic frame [obj:acc, voc:voc] 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 frame-stability(Iliad 1.1, Homer, Modern).</w:t>
      </w:r>
    </w:p>
    <w:p>
      <w:pPr>
        <w:pStyle w:val="BodyText"/>
      </w:pPr>
      <w:r>
        <w:t xml:space="preserve">The Septuagint Psalm 1:1 retranslation chain shows the inverse pattern, namely the stability of pred-nom + sub + atr.rel-cl 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 xcomp of φησίν (“he says”), which is a structural reflex of the Late-Antique commentary register. The Plato Apology 17a chain shows the preservation of the pred + adv:neg + comp[sub, obl] pattern across the Plato-to-Modern path, with the perfect aspect alternating between the synthetic Classical form and the analytic Modern Greek auxiliary plus participle. The Septuagint Genesis 1:1 cross-IE chain shows the stability of the pred + sub + obl/adv + obj + coord pattern across the Greek, Latin Vulgate, Gothic Wulfila, and Old Church Slavonic Marianus nodes, with only the obl and adv 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7"/>
    <w:bookmarkStart w:id="28"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and become available with the v0.5 release, namely the PROIEL XML 2.0 schema validator (which enforces the relation inventory and rejects UD-style labels such as nsubj and dobj; UD here is Universal Dependencies, the alternative treebanking framework whose label inventory is incompatible with PROIEL), the house-style check, the argument-frame extractor, the Stanza fine-tuning scripts, the athdgc-tools 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 https://athdgc.github.io/tools.html and on the Status page at https://athdgc.github.io/status.html.</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 nsubj, dobj, nmod, case) and a house-style check that enforces the project style guide.</w:t>
      </w:r>
    </w:p>
    <w:bookmarkEnd w:id="28"/>
    <w:bookmarkEnd w:id="29"/>
    <w:bookmarkStart w:id="30"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 (Haug and Jøhndal 2008, 27–34; Eckhoff et al. 2018, 29–65),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30"/>
    <w:bookmarkStart w:id="31"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 for the verb ἀκούω (“hear”), is the object more often in the accusative or in the genitive at each period?,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 every Greek aorist active verb whose Latin Vulgate counterpart is passive, which is expressed in Cypher (Cypher is the query language of Neo4j, structurally analogous to SQL for relational databases, in which MATCH patterns are drawn directly with arrows between nodes) as MATCH (gk:Token {lang:</w:t>
      </w:r>
      <w:r>
        <w:t xml:space="preserve">“grc”</w:t>
      </w:r>
      <w:r>
        <w:t xml:space="preserve">, tense:</w:t>
      </w:r>
      <w:r>
        <w:t xml:space="preserve">“aor”</w:t>
      </w:r>
      <w:r>
        <w:t xml:space="preserve">, voice:</w:t>
      </w:r>
      <w:r>
        <w:t xml:space="preserve">“act”</w:t>
      </w:r>
      <w:r>
        <w:t xml:space="preserve">})-[:TRANSLATED_AS]-&gt;(la:Token {lang:</w:t>
      </w:r>
      <w:r>
        <w:t xml:space="preserve">“lat”</w:t>
      </w:r>
      <w:r>
        <w:t xml:space="preserve">, voice:</w:t>
      </w:r>
      <w:r>
        <w:t xml:space="preserve">“pass”</w:t>
      </w:r>
      <w:r>
        <w:t xml:space="preserve">}) RETURN gk, la,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(grc_byz_proiel for Byzantine Greek, grc_lbem_proiel for Late Byzantine and Early Modern Greek, grc_mod_proiel for Modern Greek) are trained on ARIS; the Hugging Face model repositories under AthDGC/* exist now as private during the v0.5 audit pass and become public at v0.5 with the weight payloads (the trained parameter files that the checkpoints comprise) uploaded. In broad terms, the PyPI package athdgc-tools reserves the name with the stub 0.4.0.dev0,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 train an SVM classifier (Support Vector Machine, a standard classification algorithm) on grc_proiel argument-structure frames to distinguish Archaic from Classical from Koine Greek, and inspect the top-weighted frames per class, which is the kind of analysis that the LightSIDE-AthDGC fork makes a one-hour classroom exercise.</w:t>
      </w:r>
    </w:p>
    <w:p>
      <w:pPr>
        <w:pStyle w:val="BodyText"/>
      </w:pPr>
      <w:r>
        <w:t xml:space="preserve">Fourthly, digital editions and pedagogy. The showcase generator (51_build_showcase_site.py)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 .docx, .pptx, Beamer, and an A0-format academic poster, from a single source. Both are open-source and reusable by other historical-treebank projects. The platform is taught as a KEDIVIM continuing-education course at NKUA, Ψηφιακά Εργαλεία για τη Διαχρονική Ανάλυση της Γλώσσας / Digital Tools for the Diachronic Analysis of Language, autumn 2026; see https://athdgc.github.io/training.html.</w:t>
      </w:r>
    </w:p>
    <w:bookmarkEnd w:id="31"/>
    <w:bookmarkStart w:id="32" w:name="access-and-format"/>
    <w:p>
      <w:pPr>
        <w:pStyle w:val="Heading2"/>
      </w:pPr>
      <w:r>
        <w:t xml:space="preserve">6. Access and format</w:t>
      </w:r>
    </w:p>
    <w:p>
      <w:pPr>
        <w:pStyle w:val="FirstParagraph"/>
      </w:pPr>
      <w:r>
        <w:t xml:space="preserve">The public site at https://athdgc.github.io provides curated samples only for the v0.4 release. The full annotated corpus partitions remain under audit on the GRNET ARIS national HPC under allocation pa260305; they release at v0.5 as a separate Zenodo dataset record under CC-BY-4.0. The source-code snapshot at the v0.4.0 Zenodo record is Apache-2.0.</w:t>
      </w:r>
    </w:p>
    <w:p>
      <w:pPr>
        <w:pStyle w:val="BodyText"/>
      </w:pPr>
      <w:r>
        <w:t xml:space="preserve">The toolkit’s readiness per module is summarised in §3.4 and on the public Tools page at https://athdgc.github.io/tools.html. Five modules are LIVE today (the Quarto template pack, the showcase generator, the corpus-fix toolkit, the PROIEL XML 2.0 exporter inside the build workflow, and the Stanza annotation job script). Eight are IN SETUP and be included with the v0.5 release. The LightSIDE-AthDGC syntactic-feature fork, the NoSketch-style concordancer, the Neo4j alignment viewer, the valency-frame database client, the retranslation-pair browser, and the retelling-chain explorer are FORTHCOMING at v0.5.</w:t>
      </w:r>
    </w:p>
    <w:bookmarkEnd w:id="32"/>
    <w:bookmarkStart w:id="33" w:name="acknowledgements"/>
    <w:p>
      <w:pPr>
        <w:pStyle w:val="Heading2"/>
      </w:pPr>
      <w:r>
        <w:t xml:space="preserve">7. Acknowledgements</w:t>
      </w:r>
    </w:p>
    <w:p>
      <w:pPr>
        <w:pStyle w:val="FirstParagraph"/>
      </w:pPr>
      <w:r>
        <w:t xml:space="preserve">Funded by the Hellenic Foundation for Research and Innovation (HFRI) under the 3rd Call for HFRI Research Projects to support Post-Doctoral Researchers, Project No. 20577; with complementary support from the Greece 2.0 National Recovery and Resilience Plan. Compute supplied by GRNET ARIS, the Greek national high-performance computing cluster, under allocation pa260305.</w:t>
      </w:r>
    </w:p>
    <w:p>
      <w:pPr>
        <w:pStyle w:val="BodyText"/>
      </w:pPr>
      <w:r>
        <w:t xml:space="preserve">The funded project is CVL-CDSAML: A Corpus-based Valency Lexicon for a Contrastive and Diachronic Study of Ancient and Medieval Languages.</w:t>
      </w:r>
    </w:p>
    <w:p>
      <w:pPr>
        <w:pStyle w:val="BodyText"/>
      </w:pPr>
      <w:r>
        <w:t xml:space="preserve">The team comprises Prof. Nikolaos Lavidas (Principal Investigator, NKUA), Prof. Emerita Kiki Nikiforidou (NKUA; Co-Editor of the Genres and Influential Texts volume), Prof. Dag Haug (University of Oslo; PROIEL Project Director), Prof. Leonid Kulikov (Ghent University; diachronic typology, valency questionnaires), Dr. Vassiliki Geka (NKUA; Post-Doctoral Researcher; Co-Editor of the Genres and Influential Texts 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3"/>
    <w:bookmarkStart w:id="34" w:name="references"/>
    <w:p>
      <w:pPr>
        <w:pStyle w:val="Heading2"/>
      </w:pPr>
      <w:r>
        <w:t xml:space="preserve">References</w:t>
      </w:r>
    </w:p>
    <w:p>
      <w:pPr>
        <w:pStyle w:val="FirstParagraph"/>
      </w:pPr>
      <w:r>
        <w:t xml:space="preserve">Dou, Zi-Yi, and Graham Neubig. 2021. “Word Alignment by Fine-Tuning Embeddings on Parallel Corpora.” Proceedings of the 16th Conference of the European Chapter of the Association for Computational Linguistics: Main Volume (EACL 2021), 2112–28.</w:t>
      </w:r>
    </w:p>
    <w:p>
      <w:pPr>
        <w:pStyle w:val="BodyText"/>
      </w:pPr>
      <w:r>
        <w:t xml:space="preserve">Eckhoff, Hanne M., Kristin Bech, Gerlof Bouma, et al. 2018. “The PROIEL Treebank Family: A Standard for Early Attestations of Indo-European Languages.” Language Resources and Evaluation 52 (1): 29–65.</w:t>
      </w:r>
    </w:p>
    <w:p>
      <w:pPr>
        <w:pStyle w:val="BodyText"/>
      </w:pPr>
      <w:r>
        <w:t xml:space="preserve">Feng, Fangxiaoyu, Yinfei Yang, Daniel Cer, Naveen Arivazhagan, and Wei Wang. 2022. “Language-Agnostic BERT Sentence Embedding.” Proceedings of the 60th Annual Meeting of the Association for Computational Linguistics (ACL 2022), Volume 1: Long Papers, 878–91.</w:t>
      </w:r>
    </w:p>
    <w:p>
      <w:pPr>
        <w:pStyle w:val="BodyText"/>
      </w:pPr>
      <w:r>
        <w:t xml:space="preserve">Haug, Dag T. T., and Marius Jøhndal. 2008. “Creating a Parallel Treebank of the Old Indo-European Bible Translations.” Proceedings of the Second Workshop on Language Technology for Cultural Heritage Data (LaTeCH 2008), 27–34.</w:t>
      </w:r>
    </w:p>
    <w:p>
      <w:pPr>
        <w:pStyle w:val="BodyText"/>
      </w:pPr>
      <w:r>
        <w:t xml:space="preserve">List, Johann-Mattis. 2014. Sequence Comparison in Historical Linguistics. Düsseldorf University Press.</w:t>
      </w:r>
    </w:p>
    <w:p>
      <w:pPr>
        <w:pStyle w:val="BodyText"/>
      </w:pPr>
      <w:r>
        <w:t xml:space="preserve">Qi, Peng, Yuhao Zhang, Yuhui Zhang, Jason Bolton, and Christopher D. Manning. 2020. “Stanza: A Python Natural Language Processing Toolkit for Many Human Languages.” Proceedings of the 58th Annual Meeting of the Association for Computational Linguistics: System Demonstrations (ACL 2020), 101–8.</w:t>
      </w:r>
    </w:p>
    <w:bookmarkEnd w:id="34"/>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88" w:lineRule="auto"/>
      <w:jc w:val="both"/>
    </w:pPr>
    <w:rPr>
      <w:rFonts w:ascii="Cambria" w:cs="Cambria" w:eastAsia="Cambria" w:hAnsi="Cambria"/>
      <w:b w:val="0"/>
      <w:i w:val="0"/>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outlineLvl w:val="0"/>
    </w:pPr>
    <w:rPr>
      <w:rFonts w:ascii="Cambria" w:asciiTheme="majorHAnsi" w:cs="Cambria" w:cstheme="majorBidi" w:eastAsia="Cambria" w:eastAsiaTheme="majorEastAsia" w:hAnsi="Cambria" w:hAnsiTheme="majorHAnsi"/>
      <w:b/>
      <w:bCs/>
      <w:i w:val="0"/>
      <w:color w:val="6E1414"/>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outlineLvl w:val="1"/>
    </w:pPr>
    <w:rPr>
      <w:rFonts w:ascii="Cambria" w:asciiTheme="majorHAnsi" w:cs="Cambria" w:cstheme="majorBidi" w:eastAsia="Cambria" w:eastAsiaTheme="majorEastAsia" w:hAnsi="Cambria" w:hAnsiTheme="majorHAnsi"/>
      <w:b/>
      <w:bCs/>
      <w:i w:val="0"/>
      <w:color w:val="6E1414"/>
      <w:sz w:val="28"/>
      <w:szCs w:val="26"/>
    </w:rPr>
  </w:style>
  <w:style w:styleId="Heading3" w:type="paragraph">
    <w:name w:val="heading 3"/>
    <w:basedOn w:val="Normal"/>
    <w:next w:val="Normal"/>
    <w:link w:val="Heading3Char"/>
    <w:uiPriority w:val="9"/>
    <w:unhideWhenUsed/>
    <w:qFormat/>
    <w:rsid w:val="00FC693F"/>
    <w:pPr>
      <w:keepNext/>
      <w:keepLines/>
      <w:spacing w:after="120" w:before="240" w:line="276" w:lineRule="auto"/>
      <w:outlineLvl w:val="2"/>
    </w:pPr>
    <w:rPr>
      <w:rFonts w:ascii="Cambria" w:asciiTheme="majorHAnsi" w:cs="Cambria" w:cstheme="majorBidi" w:eastAsia="Cambria" w:eastAsiaTheme="majorEastAsia" w:hAnsi="Cambria" w:hAnsiTheme="majorHAnsi"/>
      <w:b/>
      <w:bCs/>
      <w:i/>
      <w:color w:val="6E1414"/>
      <w:sz w:val="24"/>
    </w:rPr>
  </w:style>
  <w:style w:styleId="Heading4" w:type="paragraph">
    <w:name w:val="heading 4"/>
    <w:basedOn w:val="Normal"/>
    <w:next w:val="Normal"/>
    <w:link w:val="Heading4Char"/>
    <w:uiPriority w:val="9"/>
    <w:semiHidden/>
    <w:unhideWhenUsed/>
    <w:qFormat/>
    <w:rsid w:val="00FC693F"/>
    <w:pPr>
      <w:keepNext/>
      <w:keepLines/>
      <w:spacing w:after="80" w:before="200" w:line="276" w:lineRule="auto"/>
      <w:outlineLvl w:val="3"/>
    </w:pPr>
    <w:rPr>
      <w:rFonts w:ascii="Cambria" w:asciiTheme="majorHAnsi" w:cs="Cambria" w:cstheme="majorBidi" w:eastAsia="Cambria" w:eastAsiaTheme="majorEastAsia" w:hAnsi="Cambria" w:hAnsiTheme="majorHAnsi"/>
      <w:b/>
      <w:bCs/>
      <w:i/>
      <w:iCs/>
      <w:color w:val="6E1414"/>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76" w:lineRule="auto"/>
      <w:contextualSpacing/>
      <w:jc w:val="center"/>
    </w:pPr>
    <w:rPr>
      <w:rFonts w:ascii="Cambria" w:asciiTheme="majorHAnsi" w:cs="Cambria" w:cstheme="majorBidi" w:eastAsia="Cambria" w:eastAsiaTheme="majorEastAsia" w:hAnsi="Cambria" w:hAnsiTheme="majorHAnsi"/>
      <w:b/>
      <w:i w:val="0"/>
      <w:color w:val="6E141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before="0" w:line="276" w:lineRule="auto"/>
      <w:jc w:val="center"/>
    </w:pPr>
    <w:rPr>
      <w:rFonts w:ascii="Cambria" w:asciiTheme="majorHAnsi" w:cs="Cambria" w:cstheme="majorBidi" w:eastAsia="Cambria" w:eastAsiaTheme="majorEastAsia" w:hAnsi="Cambria" w:hAnsiTheme="majorHAnsi"/>
      <w:b w:val="0"/>
      <w:i/>
      <w:iCs/>
      <w:color w:val="6E1414"/>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88" w:lineRule="auto"/>
      <w:jc w:val="both"/>
    </w:pPr>
    <w:rPr>
      <w:rFonts w:ascii="Cambria" w:cs="Cambria" w:eastAsia="Cambria" w:hAnsi="Cambria"/>
      <w:b w:val="0"/>
      <w:i w:val="0"/>
      <w:color w:val="1A1A1A"/>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0" w:line="276" w:lineRule="auto"/>
      <w:jc w:val="both"/>
    </w:pPr>
    <w:rPr>
      <w:rFonts w:ascii="Cambria" w:cs="Cambria" w:eastAsia="Cambria" w:hAnsi="Cambria"/>
      <w:b w:val="0"/>
      <w:i/>
      <w:iCs/>
      <w:color w:val="1A1A1A"/>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0" w:line="276" w:lineRule="auto"/>
      <w:jc w:val="left"/>
    </w:pPr>
    <w:rPr>
      <w:rFonts w:ascii="Cambria" w:cs="Cambria" w:eastAsia="Cambria" w:hAnsi="Cambria"/>
      <w:b w:val="0"/>
      <w:bCs/>
      <w:i/>
      <w:color w:val="1A1A1A"/>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5281/zenodo.20439182"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204391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Lavidas1; Kiki Nikiforidou1; Dag Haug2; Leonid Kulikov3; Vassiliki Geka1; Vassileios Symeonidis1; Theodoros Michalareas1; Sofia Chionidi1; Anastasia Tsiropina1; Eleni Plakoutsi1; Evangelos Argyropoulos1</dc:creator>
  <cp:keywords>diachronic linguistics, ancient Greek, Byzantine Greek, Modern Greek, Indo-European, PROIEL, dependency treebank, cross-lingual alignment, argument structure, retranslation, language contact, computational philology</cp:keywords>
  <dcterms:created xsi:type="dcterms:W3CDTF">2026-06-19T20:08:15Z</dcterms:created>
  <dcterms:modified xsi:type="dcterms:W3CDTF">2026-06-19T20:08:15Z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provides an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provides curated samples and the open-source toolkit; the full annotated corpus partitions remain under v0.5 audit on the Greek national HPC. Quantitative scale, per-witness verse counts, and per- 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ppress-bibliography">
    <vt:lpwstr>True</vt:lpwstr>
  </property>
  <property fmtid="{D5CDD505-2E9C-101B-9397-08002B2CF9AE}" pid="16" name="toc-title">
    <vt:lpwstr>Table of contents</vt:lpwstr>
  </property>
</Properties>
</file>