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GlossaContactLab Working Papers, NKUA digital edition</w:t>
      </w:r>
    </w:p>
    <w:p>
      <w:pPr>
        <w:pStyle w:val="Author"/>
      </w:pPr>
      <w:r>
        <w:t xml:space="preserve">Nikolaos Lavidas</w:t>
      </w:r>
    </w:p>
    <w:p>
      <w:pPr>
        <w:pStyle w:val="Author"/>
      </w:pPr>
      <w:r>
        <w:t xml:space="preserve">Kiki Nikiforidou</w:t>
      </w:r>
    </w:p>
    <w:p>
      <w:pPr>
        <w:pStyle w:val="Author"/>
      </w:pPr>
      <w:r>
        <w:t xml:space="preserve">Dag Haug</w:t>
      </w:r>
    </w:p>
    <w:p>
      <w:pPr>
        <w:pStyle w:val="Author"/>
      </w:pPr>
      <w:r>
        <w:t xml:space="preserve">Leonid Kulikov</w:t>
      </w:r>
    </w:p>
    <w:p>
      <w:pPr>
        <w:pStyle w:val="Author"/>
      </w:pPr>
      <w:r>
        <w:t xml:space="preserve">Vassiliki Geka</w:t>
      </w:r>
    </w:p>
    <w:p>
      <w:pPr>
        <w:pStyle w:val="Author"/>
      </w:pPr>
      <w:r>
        <w:t xml:space="preserve">Vassileios Symeonidis</w:t>
      </w:r>
    </w:p>
    <w:p>
      <w:pPr>
        <w:pStyle w:val="Author"/>
      </w:pPr>
      <w:r>
        <w:t xml:space="preserve">Theodoros Michalareas</w:t>
      </w:r>
    </w:p>
    <w:p>
      <w:pPr>
        <w:pStyle w:val="Author"/>
      </w:pPr>
      <w:r>
        <w:t xml:space="preserve">Sofia Chionidi</w:t>
      </w:r>
    </w:p>
    <w:p>
      <w:pPr>
        <w:pStyle w:val="Author"/>
      </w:pPr>
      <w:r>
        <w:t xml:space="preserve">Anastasia Tsiropina</w:t>
      </w:r>
    </w:p>
    <w:p>
      <w:pPr>
        <w:pStyle w:val="Author"/>
      </w:pPr>
      <w:r>
        <w:t xml:space="preserve">Eleni Plakoutsi</w:t>
      </w:r>
    </w:p>
    <w:p>
      <w:pPr>
        <w:pStyle w:val="Author"/>
      </w:pPr>
      <w:r>
        <w:t xml:space="preserve">Evangelos Argyropoulos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dataset. It is, to</w:t>
      </w:r>
      <w:r>
        <w:t xml:space="preserve"> </w:t>
      </w:r>
      <w:r>
        <w:t xml:space="preserve">the best of our knowledge, the first openly licensed dependency-parsed treebank</w:t>
      </w:r>
      <w:r>
        <w:t xml:space="preserve"> </w:t>
      </w:r>
      <w:r>
        <w:t xml:space="preserve">of Greek that spans eight diachronic periods, namely Archaic, Classical, Koine,</w:t>
      </w:r>
      <w:r>
        <w:t xml:space="preserve"> </w:t>
      </w:r>
      <w:r>
        <w:t xml:space="preserve">Late Antique, Byzantine, Late Byzantine, Early Modern, and Modern Greek, under a</w:t>
      </w:r>
      <w:r>
        <w:t xml:space="preserve"> </w:t>
      </w:r>
      <w:r>
        <w:t xml:space="preserve">single PROIEL XML 2.0 schema, with verse-level cross-alignment of the New</w:t>
      </w:r>
      <w:r>
        <w:t xml:space="preserve"> </w:t>
      </w:r>
      <w:r>
        <w:t xml:space="preserve">Testament to Latin (Vulgate), Gothic (Wulfila), Old Church Slavonic (Marianus),</w:t>
      </w:r>
      <w:r>
        <w:t xml:space="preserve"> </w:t>
      </w:r>
      <w:r>
        <w:t xml:space="preserve">and Classical Armenian. AthDGC builds on the PROIEL Treebank Family</w:t>
      </w:r>
      <w:r>
        <w:t xml:space="preserve"> </w:t>
      </w:r>
      <w:r>
        <w:t xml:space="preserve">(Haug and Jøhndal 2008, 27–34; Eckhoff et al. 2018, 29–65)</w:t>
      </w:r>
      <w:r>
        <w:t xml:space="preserve">, which established the schema</w:t>
      </w:r>
      <w:r>
        <w:t xml:space="preserve"> </w:t>
      </w:r>
      <w:r>
        <w:t xml:space="preserve">and the Koine-Greek reference set for the project. Annotation uses the Stanford</w:t>
      </w:r>
      <w:r>
        <w:t xml:space="preserve"> </w:t>
      </w:r>
      <w:r>
        <w:t xml:space="preserve">Stanza PROIEL-trained pipeline; sentence-level alignment uses LaBSE; word-level</w:t>
      </w:r>
      <w:r>
        <w:t xml:space="preserve"> </w:t>
      </w:r>
      <w:r>
        <w:t xml:space="preserve">alignment uses multilingual-BERT attention via AwesomeAlign. The v0.4 release</w:t>
      </w:r>
      <w:r>
        <w:t xml:space="preserve"> </w:t>
      </w:r>
      <w:r>
        <w:t xml:space="preserve">ships curated samples and the open-source toolkit; the full annotated corpus</w:t>
      </w:r>
      <w:r>
        <w:t xml:space="preserve"> </w:t>
      </w:r>
      <w:r>
        <w:t xml:space="preserve">partitions remain under v0.5 audit on GRNET ARIS. Quantitative scale, per-witness</w:t>
      </w:r>
      <w:r>
        <w:t xml:space="preserve"> </w:t>
      </w:r>
      <w:r>
        <w:t xml:space="preserve">verse counts, and per-period annotated-row counts are reported as the v0.5</w:t>
      </w:r>
      <w:r>
        <w:t xml:space="preserve"> </w:t>
      </w:r>
      <w:r>
        <w:t xml:space="preserve">release notes, after the audit pass on ARIS completes.</w:t>
      </w:r>
    </w:p>
    <w:bookmarkStart w:id="14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</w:t>
      </w:r>
      <w:r>
        <w:t xml:space="preserve"> </w:t>
      </w:r>
      <w:r>
        <w:t xml:space="preserve">PROIEL Treebank</w:t>
      </w:r>
      <w:r>
        <w:t xml:space="preserve"> </w:t>
      </w:r>
      <w:r>
        <w:t xml:space="preserve">(Haug and Jøhndal 2008, 27–34; Eckhoff et al. 2018, 29–65)</w:t>
      </w:r>
      <w:r>
        <w:t xml:space="preserve"> </w:t>
      </w:r>
      <w:r>
        <w:t xml:space="preserve">established the</w:t>
      </w:r>
      <w:r>
        <w:t xml:space="preserve"> </w:t>
      </w:r>
      <w:r>
        <w:t xml:space="preserve">gold standard for syntactically annotated parallel Indo-European Bible corpora;</w:t>
      </w:r>
      <w:r>
        <w:t xml:space="preserve"> </w:t>
      </w:r>
      <w:r>
        <w:t xml:space="preserve">its scope, however, is restricted to the New Testament and to a small number of</w:t>
      </w:r>
      <w:r>
        <w:t xml:space="preserve"> </w:t>
      </w:r>
      <w:r>
        <w:t xml:space="preserve">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</w:t>
      </w:r>
      <w:r>
        <w:t xml:space="preserve"> </w:t>
      </w:r>
      <w:r>
        <w:t xml:space="preserve">argument-structure tagging, and with reproducible cross-lingual alignment to its</w:t>
      </w:r>
      <w:r>
        <w:t xml:space="preserve"> </w:t>
      </w:r>
      <w:r>
        <w:t xml:space="preserve">sister Indo-European languages. AthDGC closes 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</w:t>
      </w:r>
      <w:r>
        <w:t xml:space="preserve"> </w:t>
      </w:r>
      <w:r>
        <w:t xml:space="preserve">text, whether the Iliad, the New Testament, the Septuagint Psalms, or classical</w:t>
      </w:r>
      <w:r>
        <w:t xml:space="preserve"> </w:t>
      </w:r>
      <w:r>
        <w:t xml:space="preserve">historiography, is re-rendered into Greek across periods (Homeric, Koine,</w:t>
      </w:r>
      <w:r>
        <w:t xml:space="preserve"> </w:t>
      </w:r>
      <w:r>
        <w:t xml:space="preserve">Byzantine, Modern) and into sister languages (Latin, Gothic, Old Church Slavonic,</w:t>
      </w:r>
      <w:r>
        <w:t xml:space="preserve"> </w:t>
      </w:r>
      <w:r>
        <w:t xml:space="preserve">Armenian) across the Indo-European family.</w:t>
      </w:r>
    </w:p>
    <w:bookmarkEnd w:id="9"/>
    <w:bookmarkStart w:id="12" w:name="repository-location"/>
    <w:p>
      <w:pPr>
        <w:pStyle w:val="Heading3"/>
      </w:pPr>
      <w:r>
        <w:t xml:space="preserve">1.2 Repository location</w:t>
      </w:r>
    </w:p>
    <w:p>
      <w:pPr>
        <w:pStyle w:val="FirstParagraph"/>
      </w:pPr>
      <w:r>
        <w:t xml:space="preserve">The public showcase of the platform is hosted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, and</w:t>
      </w:r>
      <w:r>
        <w:t xml:space="preserve"> </w:t>
      </w:r>
      <w:r>
        <w:t xml:space="preserve">the v0.4.0 source-code snapshot is permanently deposited on Zenodo under concept</w:t>
      </w:r>
      <w:r>
        <w:t xml:space="preserve"> </w:t>
      </w:r>
      <w:r>
        <w:t xml:space="preserve">DOI</w:t>
      </w:r>
      <w:r>
        <w:t xml:space="preserve"> </w:t>
      </w:r>
      <w:hyperlink r:id="rId11">
        <w:r>
          <w:rPr>
            <w:rStyle w:val="Hyperlink"/>
          </w:rPr>
          <w:t xml:space="preserve">10.5281/zenodo.20439182</w:t>
        </w:r>
      </w:hyperlink>
      <w:r>
        <w:t xml:space="preserve">. The</w:t>
      </w:r>
      <w:r>
        <w:t xml:space="preserve"> </w:t>
      </w:r>
      <w:r>
        <w:t xml:space="preserve">source repository</w:t>
      </w:r>
      <w:r>
        <w:t xml:space="preserve"> </w:t>
      </w:r>
      <w:r>
        <w:rPr>
          <w:rStyle w:val="VerbatimChar"/>
        </w:rPr>
        <w:t xml:space="preserve">AthDGC/Diachronic-Linguistics-Platform</w:t>
      </w:r>
      <w:r>
        <w:t xml:space="preserve"> </w:t>
      </w:r>
      <w:r>
        <w:t xml:space="preserve">on GitHub remains</w:t>
      </w:r>
      <w:r>
        <w:t xml:space="preserve"> </w:t>
      </w:r>
      <w:r>
        <w:t xml:space="preserve">private during the v0.5 audit pass, and becomes public at the v0.5 release,</w:t>
      </w:r>
      <w:r>
        <w:t xml:space="preserve"> </w:t>
      </w:r>
      <w:r>
        <w:t xml:space="preserve">when the consolidated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and the verified annotated partitions</w:t>
      </w:r>
      <w:r>
        <w:t xml:space="preserve"> </w:t>
      </w:r>
      <w:r>
        <w:t xml:space="preserve">are in place.</w:t>
      </w:r>
    </w:p>
    <w:bookmarkEnd w:id="12"/>
    <w:bookmarkStart w:id="13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 National and Kapodistrian University of Athens (NKUA),</w:t>
      </w:r>
      <w:r>
        <w:t xml:space="preserve"> </w:t>
      </w:r>
      <w:r>
        <w:t xml:space="preserve">Division of Language-Linguistics, Department of English Language and Literature,</w:t>
      </w:r>
      <w:r>
        <w:t xml:space="preserve"> </w:t>
      </w:r>
      <w:r>
        <w:t xml:space="preserve">School of Philosophy, under the direction of Prof. Nikolaos Lavidas. Compute is</w:t>
      </w:r>
      <w:r>
        <w:t xml:space="preserve"> </w:t>
      </w:r>
      <w:r>
        <w:t xml:space="preserve">supplied by GRNET ARIS, the Greek national high-performance computing cluster,</w:t>
      </w:r>
      <w:r>
        <w:t xml:space="preserve"> </w:t>
      </w:r>
      <w:r>
        <w:t xml:space="preserve">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3"/>
    <w:bookmarkEnd w:id="14"/>
    <w:bookmarkStart w:id="21" w:name="method"/>
    <w:p>
      <w:pPr>
        <w:pStyle w:val="Heading2"/>
      </w:pPr>
      <w:r>
        <w:t xml:space="preserve">2. Method</w:t>
      </w:r>
    </w:p>
    <w:bookmarkStart w:id="15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repositories, including</w:t>
      </w:r>
      <w:r>
        <w:t xml:space="preserve"> </w:t>
      </w:r>
      <w:r>
        <w:t xml:space="preserve">archive.org, the Perseus Digital Library, First1K Greek, Wikisource, the</w:t>
      </w:r>
      <w:r>
        <w:t xml:space="preserve"> </w:t>
      </w:r>
      <w:r>
        <w:t xml:space="preserve">Diorisis Corpus, and OpenGreekAndLatin/PerseusDL, for new or updated Greek</w:t>
      </w:r>
      <w:r>
        <w:t xml:space="preserve"> </w:t>
      </w:r>
      <w:r>
        <w:t xml:space="preserve">and parallel-language source material.</w:t>
      </w:r>
    </w:p>
    <w:bookmarkEnd w:id="15"/>
    <w:bookmarkStart w:id="16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</w:t>
      </w:r>
      <w:r>
        <w:t xml:space="preserve"> </w:t>
      </w:r>
      <w:r>
        <w:t xml:space="preserve">characters in the Greek Unicode blocks), by a Path-B line filter for bilingual</w:t>
      </w:r>
      <w:r>
        <w:t xml:space="preserve"> </w:t>
      </w:r>
      <w:r>
        <w:t xml:space="preserve">editorial apparatus, and by content-hash deduplication.</w:t>
      </w:r>
    </w:p>
    <w:bookmarkEnd w:id="16"/>
    <w:bookmarkStart w:id="17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</w:t>
      </w:r>
      <w:r>
        <w:t xml:space="preserve"> </w:t>
      </w:r>
      <w:r>
        <w:t xml:space="preserve">structure.</w:t>
      </w:r>
    </w:p>
    <w:bookmarkEnd w:id="17"/>
    <w:bookmarkStart w:id="18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2020, 101–8)</w:t>
      </w:r>
      <w:r>
        <w:t xml:space="preserve">, using 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</w:t>
      </w:r>
      <w:r>
        <w:t xml:space="preserve"> </w:t>
      </w:r>
      <w:r>
        <w:t xml:space="preserve">PROIEL-trained Stanza models are used for Latin (</w:t>
      </w:r>
      <w:r>
        <w:rPr>
          <w:rStyle w:val="VerbatimChar"/>
        </w:rPr>
        <w:t xml:space="preserve">la_proiel</w:t>
      </w:r>
      <w:r>
        <w:t xml:space="preserve">), Old Church Slavonic</w:t>
      </w:r>
      <w:r>
        <w:t xml:space="preserve"> </w:t>
      </w:r>
      <w:r>
        <w:t xml:space="preserve">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 is annotated through</w:t>
      </w:r>
      <w:r>
        <w:t xml:space="preserve"> </w:t>
      </w:r>
      <w:r>
        <w:t xml:space="preserve">a PROIEL-style pipeline currently under development. All output is normalised to</w:t>
      </w:r>
      <w:r>
        <w:t xml:space="preserve"> </w:t>
      </w:r>
      <w:r>
        <w:t xml:space="preserve">the PROIEL XML 2.0 schema; no CoNLL-U or other format is published.</w:t>
      </w:r>
    </w:p>
    <w:bookmarkEnd w:id="18"/>
    <w:bookmarkStart w:id="19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</w:t>
      </w:r>
      <w:r>
        <w:t xml:space="preserve"> </w:t>
      </w:r>
      <w:r>
        <w:t xml:space="preserve">argument-structure frame for every verb token, using the PROIEL relation</w:t>
      </w:r>
      <w:r>
        <w:t xml:space="preserve"> </w:t>
      </w:r>
      <w:r>
        <w:t xml:space="preserve">inventory strictly: the subject (</w:t>
      </w:r>
      <w:r>
        <w:rPr>
          <w:rStyle w:val="VerbatimChar"/>
        </w:rPr>
        <w:t xml:space="preserve">sub</w:t>
      </w:r>
      <w:r>
        <w:t xml:space="preserve">, including the raised patterns</w:t>
      </w:r>
      <w:r>
        <w:t xml:space="preserve"> </w:t>
      </w:r>
      <w:r>
        <w:rPr>
          <w:rStyle w:val="VerbatimChar"/>
        </w:rPr>
        <w:t xml:space="preserve">xobj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nonsub</w:t>
      </w:r>
      <w:r>
        <w:t xml:space="preserve">), the direct object (</w:t>
      </w:r>
      <w:r>
        <w:rPr>
          <w:rStyle w:val="VerbatimChar"/>
        </w:rPr>
        <w:t xml:space="preserve">obj</w:t>
      </w:r>
      <w:r>
        <w:t xml:space="preserve">), the indirect and oblique arguments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</w:t>
      </w:r>
      <w:r>
        <w:t xml:space="preserve">), the vocative addressee (</w:t>
      </w:r>
      <w:r>
        <w:rPr>
          <w:rStyle w:val="VerbatimChar"/>
        </w:rPr>
        <w:t xml:space="preserve">voc</w:t>
      </w:r>
      <w:r>
        <w:t xml:space="preserve">), the voice (active, middle, or</w:t>
      </w:r>
      <w:r>
        <w:t xml:space="preserve"> </w:t>
      </w:r>
      <w:r>
        <w:t xml:space="preserve">passive), and the aspect (perfective or imperfective).</w:t>
      </w:r>
    </w:p>
    <w:bookmarkEnd w:id="19"/>
    <w:bookmarkStart w:id="20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2022, 878–91)</w:t>
      </w:r>
      <w:r>
        <w:t xml:space="preserve">;</w:t>
      </w:r>
      <w:r>
        <w:t xml:space="preserve"> </w:t>
      </w:r>
      <w:r>
        <w:t xml:space="preserve">word-level alignment uses multilingual-BERT attention through the AwesomeAlign</w:t>
      </w:r>
      <w:r>
        <w:t xml:space="preserve"> </w:t>
      </w:r>
      <w:r>
        <w:t xml:space="preserve">procedure</w:t>
      </w:r>
      <w:r>
        <w:t xml:space="preserve"> </w:t>
      </w:r>
      <w:r>
        <w:t xml:space="preserve">(Dou and Neubig 2021, 2112–28)</w:t>
      </w:r>
      <w:r>
        <w:t xml:space="preserve">. Phonetic cognate scoring uses ASJP</w:t>
      </w:r>
      <w:r>
        <w:t xml:space="preserve"> </w:t>
      </w:r>
      <w:r>
        <w:t xml:space="preserve">sound-class encoding and LingPy edit distance</w:t>
      </w:r>
      <w:r>
        <w:t xml:space="preserve"> </w:t>
      </w:r>
      <w:r>
        <w:t xml:space="preserve">(List 2014, 1–200)</w:t>
      </w:r>
      <w:r>
        <w:t xml:space="preserve">.</w:t>
      </w:r>
    </w:p>
    <w:bookmarkEnd w:id="20"/>
    <w:bookmarkEnd w:id="21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partitions; Neo4j alignment-graph dump; Qdrant vector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onwards; v0.4.0 minted 29 May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Dataset creator</w:t>
            </w:r>
          </w:p>
        </w:tc>
        <w:tc>
          <w:tcPr/>
          <w:p>
            <w:pPr>
              <w:pStyle w:val="Compact"/>
            </w:pPr>
            <w:r>
              <w:t xml:space="preserve">Lavidas, N., Nikiforidou, K., Haug, D., Kulikov, L., Geka, V., Symeonidis, V., Michalareas, T., Chionidi, S., Tsiropina, A., Plakoutsi, E., and Argyropoulos, 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Languages</w:t>
            </w:r>
          </w:p>
        </w:tc>
        <w:tc>
          <w:tcPr/>
          <w:p>
            <w:pPr>
              <w:pStyle w:val="Compact"/>
            </w:pPr>
            <w:r>
              <w:t xml:space="preserve">grc (Ancient Greek), gkm (Medieval Greek), ell (Modern Greek), with parallels in lat, got, chu, xcl; queued for v0.7: san, ang, ave, peo, ukr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Code Apache-2.0; metadata and alignments CC-BY-4.0; per-source raw text under its original 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AthDGC/Diachronic-Linguistics-Platform</w:t>
            </w:r>
            <w:r>
              <w:t xml:space="preserve"> </w:t>
            </w:r>
            <w:r>
              <w:t xml:space="preserve">on GitHub (private during v0.5 audit; public at 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Concept DOI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10.5281/zenodo.20439182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</w:pPr>
            <w:r>
              <w:t xml:space="preserve">2026-05-29 (v0.4.0 source-code snapshot on Zenodo)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status</w:t>
            </w:r>
          </w:p>
        </w:tc>
        <w:tc>
          <w:tcPr/>
          <w:p>
            <w:pPr>
              <w:pStyle w:val="Compact"/>
            </w:pPr>
            <w:r>
              <w:t xml:space="preserve">v0.4 is samples-only on the public site; the full annotated partitions are under audit on GRNET ARIS and ship at v0.5</w:t>
            </w:r>
          </w:p>
        </w:tc>
      </w:tr>
    </w:tbl>
    <w:bookmarkStart w:id="24" w:name="open-access-source-provenance"/>
    <w:p>
      <w:pPr>
        <w:pStyle w:val="Heading3"/>
      </w:pPr>
      <w:r>
        <w:t xml:space="preserve">3.1 Open-access source provenance</w:t>
      </w:r>
    </w:p>
    <w:p>
      <w:pPr>
        <w:pStyle w:val="FirstParagraph"/>
      </w:pPr>
      <w:r>
        <w:t xml:space="preserve">Every primary source text in AthDGC is open-access (public domain, CC-BY,</w:t>
      </w:r>
      <w:r>
        <w:t xml:space="preserve"> </w:t>
      </w:r>
      <w:r>
        <w:t xml:space="preserve">CC-BY-SA, or equivalent). The annotation layer is AthDGC-original and released</w:t>
      </w:r>
      <w:r>
        <w:t xml:space="preserve"> </w:t>
      </w:r>
      <w:r>
        <w:t xml:space="preserve">under CC-BY-4.0. Accordingly, the open-access chain is preserved from input</w:t>
      </w:r>
      <w:r>
        <w:t xml:space="preserve"> </w:t>
      </w:r>
      <w:r>
        <w:t xml:space="preserve">through annotation to distribution.</w:t>
      </w:r>
    </w:p>
    <w:bookmarkStart w:id="22" w:name="greek-per-period-source-map"/>
    <w:p>
      <w:pPr>
        <w:pStyle w:val="Heading4"/>
      </w:pPr>
      <w:r>
        <w:t xml:space="preserve">Greek, per-period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Archaic, Classical, Hellenistic</w:t>
            </w:r>
          </w:p>
        </w:tc>
        <w:tc>
          <w:tcPr/>
          <w:p>
            <w:pPr>
              <w:pStyle w:val="Compact"/>
            </w:pPr>
            <w:r>
              <w:t xml:space="preserve">Perseus Digital Library; Open Greek and Latin / First Thousand Years of Greek (Leipzig)</w:t>
            </w:r>
          </w:p>
        </w:tc>
        <w:tc>
          <w:tcPr/>
          <w:p>
            <w:pPr>
              <w:pStyle w:val="Compact"/>
            </w:pPr>
            <w:r>
              <w:t xml:space="preserve">CC-BY-SA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NT</w:t>
            </w:r>
          </w:p>
        </w:tc>
        <w:tc>
          <w:tcPr/>
          <w:p>
            <w:pPr>
              <w:pStyle w:val="Compact"/>
            </w:pPr>
            <w:r>
              <w:t xml:space="preserve">SBL Greek NT; Tischendorf (1869); Westcott-Hort (1881)</w:t>
            </w:r>
          </w:p>
        </w:tc>
        <w:tc>
          <w:tcPr/>
          <w:p>
            <w:pPr>
              <w:pStyle w:val="Compact"/>
            </w:pPr>
            <w:r>
              <w:t xml:space="preserve">SBL licence; 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 LXX</w:t>
            </w:r>
          </w:p>
        </w:tc>
        <w:tc>
          <w:tcPr/>
          <w:p>
            <w:pPr>
              <w:pStyle w:val="Compact"/>
            </w:pPr>
            <w:r>
              <w:t xml:space="preserve">Rahlfs (1935) via openscriptures.org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Koine, documentary</w:t>
            </w:r>
          </w:p>
        </w:tc>
        <w:tc>
          <w:tcPr/>
          <w:p>
            <w:pPr>
              <w:pStyle w:val="Compact"/>
            </w:pPr>
            <w:r>
              <w:t xml:space="preserve">Papyri.info / DDbDP</w:t>
            </w:r>
          </w:p>
        </w:tc>
        <w:tc>
          <w:tcPr/>
          <w:p>
            <w:pPr>
              <w:pStyle w:val="Compact"/>
            </w:pPr>
            <w:r>
              <w:t xml:space="preserve">CC-BY 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 Antique, Byzantine</w:t>
            </w:r>
          </w:p>
        </w:tc>
        <w:tc>
          <w:tcPr/>
          <w:p>
            <w:pPr>
              <w:pStyle w:val="Compact"/>
            </w:pPr>
            <w:r>
              <w:t xml:space="preserve">Patrologia Graeca via Documenta Catholica Omnia and Internet Archive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Byzantine, Late Byzantine</w:t>
            </w:r>
          </w:p>
        </w:tc>
        <w:tc>
          <w:tcPr/>
          <w:p>
            <w:pPr>
              <w:pStyle w:val="Compact"/>
            </w:pPr>
            <w:r>
              <w:t xml:space="preserve">Bibliotheca Augustana; pre-1928 Teubner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Early Modern</w:t>
            </w:r>
          </w:p>
        </w:tc>
        <w:tc>
          <w:tcPr/>
          <w:p>
            <w:pPr>
              <w:pStyle w:val="Compact"/>
            </w:pPr>
            <w:r>
              <w:t xml:space="preserve">Anemi (UoC); Wikisource el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(19th c. to 1928)</w:t>
            </w:r>
          </w:p>
        </w:tc>
        <w:tc>
          <w:tcPr/>
          <w:p>
            <w:pPr>
              <w:pStyle w:val="Compact"/>
            </w:pPr>
            <w:r>
              <w:t xml:space="preserve">Wikisource el; Anemi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Modern (post-1928)</w:t>
            </w:r>
          </w:p>
        </w:tc>
        <w:tc>
          <w:tcPr/>
          <w:p>
            <w:pPr>
              <w:pStyle w:val="Compact"/>
            </w:pPr>
            <w:r>
              <w:t xml:space="preserve">publisher-licensed editions; not republished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bookmarkEnd w:id="22"/>
    <w:bookmarkStart w:id="23" w:name="X5df39f0a0025d74d30b7fff5210b3662db7b813"/>
    <w:p>
      <w:pPr>
        <w:pStyle w:val="Heading4"/>
      </w:pPr>
      <w:r>
        <w:t xml:space="preserve">Indo-European parallels, per-language source map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Source archive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Clementine Vulgate via Vulsearch; Latin Library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Wulfila Project (University of Antwerp)</w:t>
            </w:r>
          </w:p>
        </w:tc>
        <w:tc>
          <w:tcPr/>
          <w:p>
            <w:pPr>
              <w:pStyle w:val="Compact"/>
            </w:pPr>
            <w:r>
              <w:t xml:space="preserve">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Church Slavonic (Marianus)</w:t>
            </w:r>
          </w:p>
        </w:tc>
        <w:tc>
          <w:tcPr/>
          <w:p>
            <w:pPr>
              <w:pStyle w:val="Compact"/>
            </w:pPr>
            <w:r>
              <w:t xml:space="preserve">TITUS (Frankfurt)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TITUS; Digilib Armenian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GRETIL (Goettingen); SARIT; TITUS</w:t>
            </w:r>
          </w:p>
        </w:tc>
        <w:tc>
          <w:tcPr/>
          <w:p>
            <w:pPr>
              <w:pStyle w:val="Compact"/>
            </w:pPr>
            <w:r>
              <w:t xml:space="preserve">academic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TEAMS; Bosworth-Toller; DOE extracts</w:t>
            </w:r>
          </w:p>
        </w:tc>
        <w:tc>
          <w:tcPr/>
          <w:p>
            <w:pPr>
              <w:pStyle w:val="Compact"/>
            </w:pPr>
            <w:r>
              <w:t xml:space="preserve">public domain; CC-BY-SA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TITUS; Geldner (1886-95)</w:t>
            </w:r>
          </w:p>
        </w:tc>
        <w:tc>
          <w:tcPr/>
          <w:p>
            <w:pPr>
              <w:pStyle w:val="Compact"/>
            </w:pPr>
            <w:r>
              <w:t xml:space="preserve">public domain; open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TITUS; Kent (1953) PD transliteration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1581)</w:t>
            </w:r>
          </w:p>
        </w:tc>
        <w:tc>
          <w:tcPr/>
          <w:p>
            <w:pPr>
              <w:pStyle w:val="Compact"/>
            </w:pPr>
            <w:r>
              <w:t xml:space="preserve">National Library of Ukraine facsimile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(20th-c. revision)</w:t>
            </w:r>
          </w:p>
        </w:tc>
        <w:tc>
          <w:tcPr/>
          <w:p>
            <w:pPr>
              <w:pStyle w:val="Compact"/>
            </w:pPr>
            <w:r>
              <w:t xml:space="preserve">Ohienko (1962); Khomenko (1963)</w:t>
            </w:r>
          </w:p>
        </w:tc>
        <w:tc>
          <w:tcPr/>
          <w:p>
            <w:pPr>
              <w:pStyle w:val="Compact"/>
            </w:pPr>
            <w:r>
              <w:t xml:space="preserve">in copyright</w:t>
            </w:r>
          </w:p>
        </w:tc>
      </w:tr>
    </w:tbl>
    <w:p>
      <w:pPr>
        <w:pStyle w:val="BodyText"/>
      </w:pPr>
      <w:r>
        <w:t xml:space="preserve">In-copyright editions are never republished verbatim. Accordingly, AthDGC uses</w:t>
      </w:r>
      <w:r>
        <w:t xml:space="preserve"> </w:t>
      </w:r>
      <w:r>
        <w:t xml:space="preserve">an open-access antecedent (for example, pre-1928 Teubner, or the SBL GNT instead</w:t>
      </w:r>
      <w:r>
        <w:t xml:space="preserve"> </w:t>
      </w:r>
      <w:r>
        <w:t xml:space="preserve">of Nestle-Aland) or, where this is unavoidable, short quotation samples under</w:t>
      </w:r>
      <w:r>
        <w:t xml:space="preserve"> </w:t>
      </w:r>
      <w:r>
        <w:t xml:space="preserve">fair use with full attribution. The annotation layer is always AthDGC-original.</w:t>
      </w:r>
    </w:p>
    <w:bookmarkEnd w:id="23"/>
    <w:bookmarkEnd w:id="24"/>
    <w:bookmarkStart w:id="25" w:name="indo-european-parallels-covered"/>
    <w:p>
      <w:pPr>
        <w:pStyle w:val="Heading3"/>
      </w:pPr>
      <w:r>
        <w:t xml:space="preserve">3.2 Indo-European parallels covered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Period</w:t>
            </w:r>
          </w:p>
        </w:tc>
        <w:tc>
          <w:tcPr/>
          <w:p>
            <w:pPr>
              <w:pStyle w:val="Compact"/>
            </w:pPr>
            <w:r>
              <w:t xml:space="preserve">Stanza model</w:t>
            </w:r>
          </w:p>
        </w:tc>
        <w:tc>
          <w:tcPr/>
          <w:p>
            <w:pPr>
              <w:pStyle w:val="Compact"/>
            </w:pPr>
            <w:r>
              <w:t xml:space="preserve">Edition coverage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 (Koine NT)</w:t>
            </w:r>
          </w:p>
        </w:tc>
        <w:tc>
          <w:tcPr/>
          <w:p>
            <w:pPr>
              <w:pStyle w:val="Compact"/>
            </w:pPr>
            <w:r>
              <w:t xml:space="preserve">IE / Hellenic</w:t>
            </w:r>
          </w:p>
        </w:tc>
        <w:tc>
          <w:tcPr/>
          <w:p>
            <w:pPr>
              <w:pStyle w:val="Compact"/>
            </w:pPr>
            <w:r>
              <w:t xml:space="preserve">1st-2nd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grc_proiel</w:t>
            </w:r>
          </w:p>
        </w:tc>
        <w:tc>
          <w:tcPr/>
          <w:p>
            <w:pPr>
              <w:pStyle w:val="Compact"/>
            </w:pPr>
            <w:r>
              <w:t xml:space="preserve">SBL GNT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Latin (Vulgate)</w:t>
            </w:r>
          </w:p>
        </w:tc>
        <w:tc>
          <w:tcPr/>
          <w:p>
            <w:pPr>
              <w:pStyle w:val="Compact"/>
            </w:pPr>
            <w:r>
              <w:t xml:space="preserve">IE / Italic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la_proiel</w:t>
            </w:r>
          </w:p>
        </w:tc>
        <w:tc>
          <w:tcPr/>
          <w:p>
            <w:pPr>
              <w:pStyle w:val="Compact"/>
            </w:pPr>
            <w:r>
              <w:t xml:space="preserve">Clementine Vulgate NT (complete)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Gothic (Wulfila)</w:t>
            </w:r>
          </w:p>
        </w:tc>
        <w:tc>
          <w:tcPr/>
          <w:p>
            <w:pPr>
              <w:pStyle w:val="Compact"/>
            </w:pPr>
            <w:r>
              <w:t xml:space="preserve">IE / Germanic E</w:t>
            </w:r>
          </w:p>
        </w:tc>
        <w:tc>
          <w:tcPr/>
          <w:p>
            <w:pPr>
              <w:pStyle w:val="Compact"/>
            </w:pPr>
            <w:r>
              <w:t xml:space="preserve">4th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got_proiel</w:t>
            </w:r>
          </w:p>
        </w:tc>
        <w:tc>
          <w:tcPr/>
          <w:p>
            <w:pPr>
              <w:pStyle w:val="Compact"/>
            </w:pPr>
            <w:r>
              <w:t xml:space="preserve">Wulfila Project (Gospels and Pauline corpus, partial)</w:t>
            </w:r>
          </w:p>
        </w:tc>
        <w:tc>
          <w:tcPr/>
          <w:p>
            <w:pPr>
              <w:pStyle w:val="Compact"/>
            </w:pPr>
            <w:r>
              <w:t xml:space="preserve">annotated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OCS (Marianus)</w:t>
            </w:r>
          </w:p>
        </w:tc>
        <w:tc>
          <w:tcPr/>
          <w:p>
            <w:pPr>
              <w:pStyle w:val="Compact"/>
            </w:pPr>
            <w:r>
              <w:t xml:space="preserve">IE / Slavic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cu_proiel</w:t>
            </w:r>
          </w:p>
        </w:tc>
        <w:tc>
          <w:tcPr/>
          <w:p>
            <w:pPr>
              <w:pStyle w:val="Compact"/>
            </w:pPr>
            <w:r>
              <w:t xml:space="preserve">Codex Marianus (four Gospels)</w:t>
            </w:r>
          </w:p>
        </w:tc>
        <w:tc>
          <w:tcPr/>
          <w:p>
            <w:pPr>
              <w:pStyle w:val="Compact"/>
            </w:pPr>
            <w:r>
              <w:t xml:space="preserve">sampled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Classical Armenian</w:t>
            </w:r>
          </w:p>
        </w:tc>
        <w:tc>
          <w:tcPr/>
          <w:p>
            <w:pPr>
              <w:pStyle w:val="Compact"/>
            </w:pPr>
            <w:r>
              <w:t xml:space="preserve">IE / Armenian</w:t>
            </w:r>
          </w:p>
        </w:tc>
        <w:tc>
          <w:tcPr/>
          <w:p>
            <w:pPr>
              <w:pStyle w:val="Compact"/>
            </w:pPr>
            <w:r>
              <w:t xml:space="preserve">5th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xcl_proiel</w:t>
            </w:r>
            <w:r>
              <w:t xml:space="preserve"> </w:t>
            </w:r>
            <w:r>
              <w:t xml:space="preserve">(in dev.)</w:t>
            </w:r>
          </w:p>
        </w:tc>
        <w:tc>
          <w:tcPr/>
          <w:p>
            <w:pPr>
              <w:pStyle w:val="Compact"/>
            </w:pPr>
            <w:r>
              <w:t xml:space="preserve">TITUS Armenian NT</w:t>
            </w:r>
          </w:p>
        </w:tc>
        <w:tc>
          <w:tcPr/>
          <w:p>
            <w:pPr>
              <w:pStyle w:val="Compact"/>
            </w:pPr>
            <w:r>
              <w:t xml:space="preserve">ingestion (v0.5)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Sanskrit (Brahmana, Upanisadic)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sa_vedic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GRETIL / SARIT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English (Wessex Gospels)</w:t>
            </w:r>
          </w:p>
        </w:tc>
        <w:tc>
          <w:tcPr/>
          <w:p>
            <w:pPr>
              <w:pStyle w:val="Compact"/>
            </w:pPr>
            <w:r>
              <w:t xml:space="preserve">IE / Germanic W</w:t>
            </w:r>
          </w:p>
        </w:tc>
        <w:tc>
          <w:tcPr/>
          <w:p>
            <w:pPr>
              <w:pStyle w:val="Compact"/>
            </w:pPr>
            <w:r>
              <w:t xml:space="preserve">10th c. 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ang_proiel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TEAMS Wessex Gospels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Avestan (Yasna, Yashts)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1000-500 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ae_proiel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Yasna and Yashts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Old Persian (Behistun)</w:t>
            </w:r>
          </w:p>
        </w:tc>
        <w:tc>
          <w:tcPr/>
          <w:p>
            <w:pPr>
              <w:pStyle w:val="Compact"/>
            </w:pPr>
            <w:r>
              <w:t xml:space="preserve">IE / Indo-Iranian</w:t>
            </w:r>
          </w:p>
        </w:tc>
        <w:tc>
          <w:tcPr/>
          <w:p>
            <w:pPr>
              <w:pStyle w:val="Compact"/>
            </w:pPr>
            <w:r>
              <w:t xml:space="preserve">6th-5th c. BC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peo_proiel</w:t>
            </w:r>
            <w:r>
              <w:t xml:space="preserve"> </w:t>
            </w:r>
            <w:r>
              <w:t xml:space="preserve">(queued)</w:t>
            </w:r>
          </w:p>
        </w:tc>
        <w:tc>
          <w:tcPr/>
          <w:p>
            <w:pPr>
              <w:pStyle w:val="Compact"/>
            </w:pPr>
            <w:r>
              <w:t xml:space="preserve">TITUS Behistun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Ukrainian (Ostroh and 20th-c. revision)</w:t>
            </w:r>
          </w:p>
        </w:tc>
        <w:tc>
          <w:tcPr/>
          <w:p>
            <w:pPr>
              <w:pStyle w:val="Compact"/>
            </w:pPr>
            <w:r>
              <w:t xml:space="preserve">IE / Slavic E</w:t>
            </w:r>
          </w:p>
        </w:tc>
        <w:tc>
          <w:tcPr/>
          <w:p>
            <w:pPr>
              <w:pStyle w:val="Compact"/>
            </w:pPr>
            <w:r>
              <w:t xml:space="preserve">1581 and 1962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uk_dep</w:t>
            </w:r>
            <w:r>
              <w:t xml:space="preserve"> </w:t>
            </w:r>
            <w:r>
              <w:t xml:space="preserve">adapted (queued)</w:t>
            </w:r>
          </w:p>
        </w:tc>
        <w:tc>
          <w:tcPr/>
          <w:p>
            <w:pPr>
              <w:pStyle w:val="Compact"/>
            </w:pPr>
            <w:r>
              <w:t xml:space="preserve">Ostroh 1581 and Ohienko 1962</w:t>
            </w:r>
          </w:p>
        </w:tc>
        <w:tc>
          <w:tcPr/>
          <w:p>
            <w:pPr>
              <w:pStyle w:val="Compact"/>
            </w:pPr>
            <w:r>
              <w:t xml:space="preserve">queued (v0.7)</w:t>
            </w:r>
          </w:p>
        </w:tc>
      </w:tr>
    </w:tbl>
    <w:p>
      <w:pPr>
        <w:pStyle w:val="BodyText"/>
      </w:pPr>
      <w:r>
        <w:t xml:space="preserve">Verified per-witness aligned-verse counts ship in the v0.5 release notes once the</w:t>
      </w:r>
      <w:r>
        <w:t xml:space="preserve"> </w:t>
      </w:r>
      <w:r>
        <w:t xml:space="preserve">ARIS audit pass closes. Accordingly, the v0.4 release ships the curated samples</w:t>
      </w:r>
      <w:r>
        <w:t xml:space="preserve"> </w:t>
      </w:r>
      <w:r>
        <w:t xml:space="preserve">on the Samples page rather than full per-witness counts.</w:t>
      </w:r>
    </w:p>
    <w:bookmarkEnd w:id="25"/>
    <w:bookmarkStart w:id="26" w:name="retelling-and-retranslation-chains"/>
    <w:p>
      <w:pPr>
        <w:pStyle w:val="Heading3"/>
      </w:pPr>
      <w:r>
        <w:t xml:space="preserve">3.3 Retelling and retranslation chains</w:t>
      </w:r>
    </w:p>
    <w:p>
      <w:pPr>
        <w:pStyle w:val="FirstParagraph"/>
      </w:pPr>
      <w:r>
        <w:t xml:space="preserve">Five chains are public on the Samples page. Each renders the same canonical</w:t>
      </w:r>
      <w:r>
        <w:t xml:space="preserve"> </w:t>
      </w:r>
      <w:r>
        <w:t xml:space="preserve">passage across periods (retelling, or retranslation within Greek) or across</w:t>
      </w:r>
      <w:r>
        <w:t xml:space="preserve"> </w:t>
      </w:r>
      <w:r>
        <w:t xml:space="preserve">languages (cross-IE retranslation), with one PROIEL tree per node and a</w:t>
      </w:r>
      <w:r>
        <w:t xml:space="preserve"> </w:t>
      </w:r>
      <w:r>
        <w:t xml:space="preserve">frame-stability gloss.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Chain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Nodes</w:t>
            </w:r>
          </w:p>
        </w:tc>
        <w:tc>
          <w:tcPr/>
          <w:p>
            <w:pPr>
              <w:pStyle w:val="Compact"/>
            </w:pPr>
            <w:r>
              <w:t xml:space="preserve">What it 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Iliad</w:t>
            </w:r>
            <w:r>
              <w:t xml:space="preserve"> </w:t>
            </w:r>
            <w:r>
              <w:t xml:space="preserve">1.1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Homer (8th c. BC); Tzetzes (12th c.); Kazantzakis/Kakridis (1955)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[obj:acc, voc:voc]</w:t>
            </w:r>
            <w:r>
              <w:t xml:space="preserve"> </w:t>
            </w:r>
            <w:r>
              <w:t xml:space="preserve">stable across 2,800 years; collapses only under Tzetzes’ narrative reframing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Psalm 1:1 across periods</w:t>
            </w:r>
          </w:p>
        </w:tc>
        <w:tc>
          <w:tcPr/>
          <w:p>
            <w:pPr>
              <w:pStyle w:val="Compact"/>
            </w:pPr>
            <w:r>
              <w:t xml:space="preserve">retranslation</w:t>
            </w:r>
          </w:p>
        </w:tc>
        <w:tc>
          <w:tcPr/>
          <w:p>
            <w:pPr>
              <w:pStyle w:val="Compact"/>
            </w:pPr>
            <w:r>
              <w:t xml:space="preserve">LXX (3rd c. BC); Byzantine (10th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pred-nom + sub + atr.rel-cl</w:t>
            </w:r>
            <w:r>
              <w:t xml:space="preserve"> </w:t>
            </w:r>
            <w:r>
              <w:t xml:space="preserve">stable; voice flips twice;</w:t>
            </w:r>
            <w:r>
              <w:t xml:space="preserve"> </w:t>
            </w:r>
            <w:r>
              <w:rPr>
                <w:i/>
                <w:iCs/>
              </w:rPr>
              <w:t xml:space="preserve">οὐκ, οὐ, δεν</w:t>
            </w:r>
            <w:r>
              <w:t xml:space="preserve"> </w:t>
            </w:r>
            <w:r>
              <w:t xml:space="preserve">across the three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 John 1:1 patristic and Modern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John (1st c.); Chrysostom (4th c.); John of Damascus (8th c.); Modern liturgical (post-1976)</w:t>
            </w:r>
          </w:p>
        </w:tc>
        <w:tc>
          <w:tcPr/>
          <w:p>
            <w:pPr>
              <w:pStyle w:val="Compact"/>
            </w:pPr>
            <w:r>
              <w:t xml:space="preserve">copular skeleton stable 2,000 years; patristic nodes nest under</w:t>
            </w:r>
            <w:r>
              <w:t xml:space="preserve"> </w:t>
            </w:r>
            <w:r>
              <w:rPr>
                <w:rStyle w:val="VerbatimChar"/>
              </w:rPr>
              <w:t xml:space="preserve">xcomp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i/>
                <w:iCs/>
              </w:rPr>
              <w:t xml:space="preserve">φησίν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Plato</w:t>
            </w:r>
            <w:r>
              <w:t xml:space="preserve"> </w:t>
            </w:r>
            <w:r>
              <w:rPr>
                <w:i/>
                <w:iCs/>
              </w:rPr>
              <w:t xml:space="preserve">Apology</w:t>
            </w:r>
            <w:r>
              <w:t xml:space="preserve"> </w:t>
            </w:r>
            <w:r>
              <w:t xml:space="preserve">17a across reception</w:t>
            </w:r>
          </w:p>
        </w:tc>
        <w:tc>
          <w:tcPr/>
          <w:p>
            <w:pPr>
              <w:pStyle w:val="Compact"/>
            </w:pPr>
            <w:r>
              <w:t xml:space="preserve">retelling</w:t>
            </w:r>
          </w:p>
        </w:tc>
        <w:tc>
          <w:tcPr/>
          <w:p>
            <w:pPr>
              <w:pStyle w:val="Compact"/>
            </w:pPr>
            <w:r>
              <w:t xml:space="preserve">Plato (4th c. BC); Olympiodorus (6th c.); Modern Greek (post-1976)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adv:neg + comp[sub, obl]</w:t>
            </w:r>
            <w:r>
              <w:t xml:space="preserve"> </w:t>
            </w:r>
            <w:r>
              <w:t xml:space="preserve">preserved; perfect aspect synthetic vs. analytic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LXX Genesis 1:1 across IE languages</w:t>
            </w:r>
          </w:p>
        </w:tc>
        <w:tc>
          <w:tcPr/>
          <w:p>
            <w:pPr>
              <w:pStyle w:val="Compact"/>
            </w:pPr>
            <w:r>
              <w:t xml:space="preserve">retranslation, cross-IE</w:t>
            </w:r>
          </w:p>
        </w:tc>
        <w:tc>
          <w:tcPr/>
          <w:p>
            <w:pPr>
              <w:pStyle w:val="Compact"/>
            </w:pPr>
            <w:r>
              <w:t xml:space="preserve">LXX Greek; Vulgate Latin; Wulfila Gothic; OCS Marianus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 + sub + obl/adv + obj + coord</w:t>
            </w:r>
            <w:r>
              <w:t xml:space="preserve"> </w:t>
            </w:r>
            <w:r>
              <w:t xml:space="preserve">stable across all four; only obl-vs.-adv diverges in OCS</w:t>
            </w:r>
          </w:p>
        </w:tc>
      </w:tr>
    </w:tbl>
    <w:bookmarkEnd w:id="26"/>
    <w:bookmarkStart w:id="29" w:name="tools-open-source"/>
    <w:p>
      <w:pPr>
        <w:pStyle w:val="Heading3"/>
      </w:pPr>
      <w:r>
        <w:t xml:space="preserve">3.4 Tools (open source)</w:t>
      </w:r>
    </w:p>
    <w:p>
      <w:pPr>
        <w:pStyle w:val="FirstParagraph"/>
      </w:pPr>
      <w:r>
        <w:t xml:space="preserve">The AthDGC toolkit is organised as a set of OSI-licensed modules in three</w:t>
      </w:r>
      <w:r>
        <w:t xml:space="preserve"> </w:t>
      </w:r>
      <w:r>
        <w:t xml:space="preserve">readiness tiers. Five modules are LIVE in the public repository and can be cloned</w:t>
      </w:r>
      <w:r>
        <w:t xml:space="preserve"> </w:t>
      </w:r>
      <w:r>
        <w:t xml:space="preserve">and run today: the Quarto pack, the showcase generator, the corpus-fix toolkit,</w:t>
      </w:r>
      <w:r>
        <w:t xml:space="preserve"> </w:t>
      </w:r>
      <w:r>
        <w:t xml:space="preserve">the PROIEL XML 2.0 exporter that runs inside the build pipeline, and the Stanza</w:t>
      </w:r>
      <w:r>
        <w:t xml:space="preserve"> </w:t>
      </w:r>
      <w:r>
        <w:t xml:space="preserve">annotation job script. Eight modules are IN SETUP, working in the project’s</w:t>
      </w:r>
      <w:r>
        <w:t xml:space="preserve"> </w:t>
      </w:r>
      <w:r>
        <w:t xml:space="preserve">internal pack and migrating to a unified public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directory at v0.5,</w:t>
      </w:r>
      <w:r>
        <w:t xml:space="preserve"> </w:t>
      </w:r>
      <w:r>
        <w:t xml:space="preserve">namely the PROIEL XML 2.0 schema validator, the house-style check, the</w:t>
      </w:r>
      <w:r>
        <w:t xml:space="preserve"> </w:t>
      </w:r>
      <w:r>
        <w:t xml:space="preserve">argument-frame extractor, the Stanza fine-tuning scripts, the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PyPI package, and the three Hugging Face model repositories whose weights upload</w:t>
      </w:r>
      <w:r>
        <w:t xml:space="preserve"> </w:t>
      </w:r>
      <w:r>
        <w:t xml:space="preserve">at v0.5. The remaining modules are FORTHCOMING at v0.5: the LightSIDE-AthDGC</w:t>
      </w:r>
      <w:r>
        <w:t xml:space="preserve"> </w:t>
      </w:r>
      <w:r>
        <w:t xml:space="preserve">syntactic-feature fork and its export scripts, the NoSketch-style CWB indexer,</w:t>
      </w:r>
      <w:r>
        <w:t xml:space="preserve"> </w:t>
      </w:r>
      <w:r>
        <w:t xml:space="preserve">the Neo4j alignment viewer, the valency-frame database client, the</w:t>
      </w:r>
      <w:r>
        <w:t xml:space="preserve"> </w:t>
      </w:r>
      <w:r>
        <w:t xml:space="preserve">retranslation-pair browser, and the retelling-chain explorer. The complete tier</w:t>
      </w:r>
      <w:r>
        <w:t xml:space="preserve"> </w:t>
      </w:r>
      <w:r>
        <w:t xml:space="preserve">matrix per module is on the public Tools 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 </w:t>
      </w:r>
      <w:r>
        <w:t xml:space="preserve">and on the Status page at</w:t>
      </w:r>
      <w:r>
        <w:t xml:space="preserve"> </w:t>
      </w:r>
      <w:hyperlink r:id="rId28">
        <w:r>
          <w:rPr>
            <w:rStyle w:val="Hyperlink"/>
          </w:rPr>
          <w:t xml:space="preserve">https://athdgc.github.io/status.html</w:t>
        </w:r>
      </w:hyperlink>
      <w:r>
        <w:t xml:space="preserve">.</w:t>
      </w:r>
    </w:p>
    <w:p>
      <w:pPr>
        <w:pStyle w:val="BodyText"/>
      </w:pPr>
      <w:r>
        <w:t xml:space="preserve">Across the toolkit, the annotation layer and the corpus samples are CC-BY-4.0;</w:t>
      </w:r>
      <w:r>
        <w:t xml:space="preserve"> </w:t>
      </w:r>
      <w:r>
        <w:t xml:space="preserve">the tool code is Apache-2.0 (most modules), MIT (Quarto pack and Neo4j viewer),</w:t>
      </w:r>
      <w:r>
        <w:t xml:space="preserve"> </w:t>
      </w:r>
      <w:r>
        <w:t xml:space="preserve">BSD-3-Clause (upstream LightSIDE, retained on the patch set), and GPL-3.0</w:t>
      </w:r>
      <w:r>
        <w:t xml:space="preserve"> </w:t>
      </w:r>
      <w:r>
        <w:t xml:space="preserve">(upstream CWB, retained on the index builder).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tools/lightside-athdgc/</w:t>
            </w:r>
            <w:r>
              <w:t xml:space="preserve"> </w:t>
            </w:r>
            <w:r>
              <w:t xml:space="preserve">(LightSIDE for PROIEL arcs, frames, and morphology)</w:t>
            </w:r>
          </w:p>
        </w:tc>
        <w:tc>
          <w:tcPr/>
          <w:p>
            <w:pPr>
              <w:pStyle w:val="Compact"/>
            </w:pPr>
            <w:r>
              <w:t xml:space="preserve">BSD-3-Clause and 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tools/athdgc_to_lightside_syntax.py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tools/athdgc_to_lightside.py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tools/proiel_export/</w:t>
            </w:r>
            <w:r>
              <w:t xml:space="preserve"> </w:t>
            </w:r>
            <w:r>
              <w:t xml:space="preserve">(Stanza output to PROIEL XML 2.0)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tools/proiel_validate.py</w:t>
            </w:r>
            <w:r>
              <w:t xml:space="preserve"> </w:t>
            </w:r>
            <w:r>
              <w:t xml:space="preserve">(v0.5 schema linter)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tools/arg_structure.py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tools/fix_corpus_data.py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tools/valency_db.py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tools/stanza-finetune/</w:t>
            </w:r>
            <w:r>
              <w:t xml:space="preserve"> </w:t>
            </w:r>
            <w:r>
              <w:t xml:space="preserve">(diachronic Stanza checkpoints)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tools/build_cwb_index.sh</w:t>
            </w:r>
            <w:r>
              <w:t xml:space="preserve"> </w:t>
            </w:r>
            <w:r>
              <w:t xml:space="preserve">(NoSketch-style CWB index)</w:t>
            </w:r>
          </w:p>
        </w:tc>
        <w:tc>
          <w:tcPr/>
          <w:p>
            <w:pPr>
              <w:pStyle w:val="Compact"/>
            </w:pPr>
            <w:r>
              <w:t xml:space="preserve">GPL-3.0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tools/cwb-recipes/</w:t>
            </w:r>
            <w:r>
              <w:t xml:space="preserve"> </w:t>
            </w:r>
            <w:r>
              <w:t xml:space="preserve">(sample CQL queries)</w:t>
            </w:r>
          </w:p>
        </w:tc>
        <w:tc>
          <w:tcPr/>
          <w:p>
            <w:pPr>
              <w:pStyle w:val="Compact"/>
            </w:pPr>
            <w:r>
              <w:t xml:space="preserve">CC-BY-4.0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tools/showcase/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51_build_showcase_site.py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tools/neo4j-align-viewer/</w:t>
            </w:r>
            <w:r>
              <w:t xml:space="preserve"> </w:t>
            </w:r>
            <w:r>
              <w:t xml:space="preserve">(cross-lingual graph viewer)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tools/retranslation-browser/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tools/retelling-explorer/</w:t>
            </w:r>
            <w:r>
              <w:t xml:space="preserve"> </w:t>
            </w:r>
            <w:r>
              <w:t xml:space="preserve">(v0.5)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athdgc-quarto/</w:t>
            </w:r>
            <w:r>
              <w:t xml:space="preserve"> </w:t>
            </w:r>
            <w:r>
              <w:t xml:space="preserve">(this Working Paper and the public site)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Stanza checkpoints</w:t>
            </w:r>
            <w:r>
              <w:t xml:space="preserve"> </w:t>
            </w:r>
            <w:r>
              <w:rPr>
                <w:rStyle w:val="VerbatimChar"/>
              </w:rPr>
              <w:t xml:space="preserve">athdgc/grc_byz_proiel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grc_lbem_proiel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grc_mod_proiel</w:t>
            </w:r>
            <w:r>
              <w:t xml:space="preserve"> </w:t>
            </w:r>
            <w:r>
              <w:t xml:space="preserve">(Hugging Face mirror, v0.5)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</w:tr>
    </w:tbl>
    <w:p>
      <w:pPr>
        <w:pStyle w:val="BodyText"/>
      </w:pPr>
      <w:r>
        <w:t xml:space="preserve">Two automated gates run on every community pull request, namely a PROIEL XML 2.0</w:t>
      </w:r>
      <w:r>
        <w:t xml:space="preserve"> </w:t>
      </w:r>
      <w:r>
        <w:t xml:space="preserve">schema validator (which rejects UD-style labels such as</w:t>
      </w:r>
      <w:r>
        <w:t xml:space="preserve"> </w:t>
      </w:r>
      <w:r>
        <w:rPr>
          <w:rStyle w:val="VerbatimChar"/>
        </w:rPr>
        <w:t xml:space="preserve">nsubj</w:t>
      </w:r>
      <w:r>
        <w:t xml:space="preserve">,</w:t>
      </w:r>
      <w:r>
        <w:t xml:space="preserve"> </w:t>
      </w:r>
      <w:r>
        <w:rPr>
          <w:rStyle w:val="VerbatimChar"/>
        </w:rPr>
        <w:t xml:space="preserve">dobj</w:t>
      </w:r>
      <w:r>
        <w:t xml:space="preserve">,</w:t>
      </w:r>
      <w:r>
        <w:t xml:space="preserve"> </w:t>
      </w:r>
      <w:r>
        <w:rPr>
          <w:rStyle w:val="VerbatimChar"/>
        </w:rPr>
        <w:t xml:space="preserve">nmod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) and a house-style check that enforces the project style guide.</w:t>
      </w:r>
    </w:p>
    <w:bookmarkEnd w:id="29"/>
    <w:bookmarkEnd w:id="30"/>
    <w:bookmarkStart w:id="32" w:name="reuse-potential"/>
    <w:p>
      <w:pPr>
        <w:pStyle w:val="Heading2"/>
      </w:pPr>
      <w:r>
        <w:t xml:space="preserve">4. Reuse potential</w:t>
      </w:r>
    </w:p>
    <w:p>
      <w:pPr>
        <w:pStyle w:val="FirstParagraph"/>
      </w:pPr>
      <w:r>
        <w:t xml:space="preserve">AthDGC supports four primary reuse classes.</w:t>
      </w:r>
    </w:p>
    <w:p>
      <w:pPr>
        <w:pStyle w:val="BodyText"/>
      </w:pPr>
      <w:r>
        <w:t xml:space="preserve">In the first place,</w:t>
      </w:r>
      <w:r>
        <w:t xml:space="preserve"> </w:t>
      </w:r>
      <w:r>
        <w:rPr>
          <w:i/>
          <w:iCs/>
        </w:rPr>
        <w:t xml:space="preserve">historical syntactic research</w:t>
      </w:r>
      <w:r>
        <w:t xml:space="preserve">. Per-period dependency parses</w:t>
      </w:r>
      <w:r>
        <w:t xml:space="preserve"> </w:t>
      </w:r>
      <w:r>
        <w:t xml:space="preserve">allow analysts to track argument-structure changes across three millennia of</w:t>
      </w:r>
      <w:r>
        <w:t xml:space="preserve"> </w:t>
      </w:r>
      <w:r>
        <w:t xml:space="preserve">Greek (active-to-mediopassive shifts, loss of the optative, the rise of the</w:t>
      </w:r>
      <w:r>
        <w:t xml:space="preserve"> </w:t>
      </w:r>
      <w:r>
        <w:t xml:space="preserve">periphrastic perfect, accusative-to-genitive variation under verbs of perception,</w:t>
      </w:r>
      <w:r>
        <w:t xml:space="preserve"> </w:t>
      </w:r>
      <w:r>
        <w:t xml:space="preserve">among others). Accordingly, the colour-coded compact dependency overview on each</w:t>
      </w:r>
      <w:r>
        <w:t xml:space="preserve"> </w:t>
      </w:r>
      <w:r>
        <w:t xml:space="preserve">sample is designed for fast scanning of these patterns.</w:t>
      </w:r>
    </w:p>
    <w:p>
      <w:pPr>
        <w:pStyle w:val="BodyText"/>
      </w:pPr>
      <w:r>
        <w:t xml:space="preserve">Secondly,</w:t>
      </w:r>
      <w:r>
        <w:t xml:space="preserve"> </w:t>
      </w:r>
      <w:r>
        <w:rPr>
          <w:i/>
          <w:iCs/>
        </w:rPr>
        <w:t xml:space="preserve">Indo-European comparative syntax</w:t>
      </w:r>
      <w:r>
        <w:t xml:space="preserve">. The verse-level cross-lingual</w:t>
      </w:r>
      <w:r>
        <w:t xml:space="preserve"> </w:t>
      </w:r>
      <w:r>
        <w:t xml:space="preserve">alignment of the New Testament to Latin (Vulgate), Gothic (Wulfila), Old Church</w:t>
      </w:r>
      <w:r>
        <w:t xml:space="preserve"> </w:t>
      </w:r>
      <w:r>
        <w:t xml:space="preserve">Slavonic (Marianus), and Classical Armenian provides aligned PROIEL parses across</w:t>
      </w:r>
      <w:r>
        <w:t xml:space="preserve"> </w:t>
      </w:r>
      <w:r>
        <w:t xml:space="preserve">four sister Indo-European languages, with Sanskrit, Old English, Avestan, Old</w:t>
      </w:r>
      <w:r>
        <w:t xml:space="preserve"> </w:t>
      </w:r>
      <w:r>
        <w:t xml:space="preserve">Persian, and Ukrainian queued at v0.7. In this respect, users can query the Neo4j</w:t>
      </w:r>
      <w:r>
        <w:t xml:space="preserve"> </w:t>
      </w:r>
      <w:r>
        <w:t xml:space="preserve">alignment graph for typological correspondences, for example every Greek aorist</w:t>
      </w:r>
      <w:r>
        <w:t xml:space="preserve"> </w:t>
      </w:r>
      <w:r>
        <w:t xml:space="preserve">active verb whose Latin Vulgate counterpart is passive.</w:t>
      </w:r>
    </w:p>
    <w:p>
      <w:pPr>
        <w:pStyle w:val="BodyText"/>
      </w:pPr>
      <w:r>
        <w:t xml:space="preserve">Thirdly,</w:t>
      </w:r>
      <w:r>
        <w:t xml:space="preserve"> </w:t>
      </w:r>
      <w:r>
        <w:rPr>
          <w:i/>
          <w:iCs/>
        </w:rPr>
        <w:t xml:space="preserve">computational diachronic NLP</w:t>
      </w:r>
      <w:r>
        <w:t xml:space="preserve">. The fine-tuned Stanza checkpoints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grc_byz_proiel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grc_lbem_proiel</w:t>
      </w:r>
      <w:r>
        <w:t xml:space="preserve">,</w:t>
      </w:r>
      <w:r>
        <w:t xml:space="preserve"> </w:t>
      </w:r>
      <w:r>
        <w:rPr>
          <w:rStyle w:val="VerbatimChar"/>
        </w:rPr>
        <w:t xml:space="preserve">grc_mod_proiel</w:t>
      </w:r>
      <w:r>
        <w:t xml:space="preserve">) are trained on ARIS;</w:t>
      </w:r>
      <w:r>
        <w:t xml:space="preserve"> </w:t>
      </w:r>
      <w:r>
        <w:t xml:space="preserve">the Hugging Face model repositories under</w:t>
      </w:r>
      <w:r>
        <w:t xml:space="preserve"> </w:t>
      </w:r>
      <w:r>
        <w:rPr>
          <w:rStyle w:val="VerbatimChar"/>
        </w:rPr>
        <w:t xml:space="preserve">AthDGC/*</w:t>
      </w:r>
      <w:r>
        <w:t xml:space="preserve"> </w:t>
      </w:r>
      <w:r>
        <w:t xml:space="preserve">exist now as private</w:t>
      </w:r>
      <w:r>
        <w:t xml:space="preserve"> </w:t>
      </w:r>
      <w:r>
        <w:t xml:space="preserve">during the v0.5 audit pass and become public at v0.5 with the weight payloads</w:t>
      </w:r>
      <w:r>
        <w:t xml:space="preserve"> </w:t>
      </w:r>
      <w:r>
        <w:t xml:space="preserve">uploaded. In broad terms, the PyPI package</w:t>
      </w:r>
      <w:r>
        <w:t xml:space="preserve"> </w:t>
      </w:r>
      <w:r>
        <w:rPr>
          <w:rStyle w:val="VerbatimChar"/>
        </w:rPr>
        <w:t xml:space="preserve">athdgc-tools</w:t>
      </w:r>
      <w:r>
        <w:t xml:space="preserve"> </w:t>
      </w:r>
      <w:r>
        <w:t xml:space="preserve">reserves the name with</w:t>
      </w:r>
      <w:r>
        <w:t xml:space="preserve"> </w:t>
      </w:r>
      <w:r>
        <w:t xml:space="preserve">the stub</w:t>
      </w:r>
      <w:r>
        <w:t xml:space="preserve"> </w:t>
      </w:r>
      <w:r>
        <w:rPr>
          <w:rStyle w:val="VerbatimChar"/>
        </w:rPr>
        <w:t xml:space="preserve">0.4.0.dev0</w:t>
      </w:r>
      <w:r>
        <w:t xml:space="preserve">, and the full toolkit replaces the stub at v0.5; the</w:t>
      </w:r>
      <w:r>
        <w:t xml:space="preserve"> </w:t>
      </w:r>
      <w:r>
        <w:t xml:space="preserve">checkpoints can be loaded directly into Stanza for parsing new Greek diachronic</w:t>
      </w:r>
      <w:r>
        <w:t xml:space="preserve"> </w:t>
      </w:r>
      <w:r>
        <w:t xml:space="preserve">data once the weights are published. Thereby the LightSIDE-AthDGC fork extends</w:t>
      </w:r>
      <w:r>
        <w:t xml:space="preserve"> </w:t>
      </w:r>
      <w:r>
        <w:t xml:space="preserve">LightSIDE to operate on syntactic features, namely dependency arcs,</w:t>
      </w:r>
      <w:r>
        <w:t xml:space="preserve"> </w:t>
      </w:r>
      <w:r>
        <w:t xml:space="preserve">argument-structure frames, and morphology bundles, opening a new feature space</w:t>
      </w:r>
      <w:r>
        <w:t xml:space="preserve"> </w:t>
      </w:r>
      <w:r>
        <w:t xml:space="preserve">for the classification of diachronic stages.</w:t>
      </w:r>
    </w:p>
    <w:p>
      <w:pPr>
        <w:pStyle w:val="BodyText"/>
      </w:pPr>
      <w:r>
        <w:t xml:space="preserve">Fourthly,</w:t>
      </w:r>
      <w:r>
        <w:t xml:space="preserve"> </w:t>
      </w:r>
      <w:r>
        <w:rPr>
          <w:i/>
          <w:iCs/>
        </w:rPr>
        <w:t xml:space="preserve">digital editions and pedagogy</w:t>
      </w:r>
      <w:r>
        <w:t xml:space="preserve">. The showcase generator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51_build_showcase_site.py</w:t>
      </w:r>
      <w:r>
        <w:t xml:space="preserve">) produces browsable per-sample PROIEL trees from any</w:t>
      </w:r>
      <w:r>
        <w:t xml:space="preserve"> </w:t>
      </w:r>
      <w:r>
        <w:t xml:space="preserve">JSONL corpus; the Quarto template pack generates the whole multi-output site</w:t>
      </w:r>
      <w:r>
        <w:t xml:space="preserve"> </w:t>
      </w:r>
      <w:r>
        <w:t xml:space="preserve">(HTML, Reveal.js slides, .docx, .pptx, Beamer, A0 poster) from a single source.</w:t>
      </w:r>
      <w:r>
        <w:t xml:space="preserve"> </w:t>
      </w:r>
      <w:r>
        <w:t xml:space="preserve">Both are open-source and reusable by other historical-treebank projects.</w:t>
      </w:r>
    </w:p>
    <w:p>
      <w:pPr>
        <w:pStyle w:val="BodyText"/>
      </w:pPr>
      <w:r>
        <w:t xml:space="preserve">The platform is taught as a KEDIVIM continuing-education course at NKUA,</w:t>
      </w:r>
      <w:r>
        <w:t xml:space="preserve"> </w:t>
      </w:r>
      <w:r>
        <w:rPr>
          <w:i/>
          <w:iCs/>
        </w:rPr>
        <w:t xml:space="preserve">Ψηφιακά Εργαλεία για τη Διαχρονική Ανάλυση της Γλώσσας / Digital Tools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Diachronic Analysis of Language</w:t>
      </w:r>
      <w:r>
        <w:t xml:space="preserve">, autumn 2026; see</w:t>
      </w:r>
      <w:r>
        <w:t xml:space="preserve"> </w:t>
      </w:r>
      <w:hyperlink r:id="rId31">
        <w:r>
          <w:rPr>
            <w:rStyle w:val="Hyperlink"/>
          </w:rPr>
          <w:t xml:space="preserve">https://athdgc.github.io/training.html</w:t>
        </w:r>
      </w:hyperlink>
      <w:r>
        <w:t xml:space="preserve">.</w:t>
      </w:r>
    </w:p>
    <w:bookmarkEnd w:id="32"/>
    <w:bookmarkStart w:id="33" w:name="access-and-format"/>
    <w:p>
      <w:pPr>
        <w:pStyle w:val="Heading2"/>
      </w:pPr>
      <w:r>
        <w:t xml:space="preserve">5. Access and format</w:t>
      </w:r>
    </w:p>
    <w:p>
      <w:pPr>
        <w:pStyle w:val="FirstParagraph"/>
      </w:pPr>
      <w:r>
        <w:t xml:space="preserve">The public site at</w:t>
      </w:r>
      <w:r>
        <w:t xml:space="preserve"> </w:t>
      </w:r>
      <w:hyperlink r:id="rId10">
        <w:r>
          <w:rPr>
            <w:rStyle w:val="Hyperlink"/>
          </w:rPr>
          <w:t xml:space="preserve">https://athdgc.github.io</w:t>
        </w:r>
      </w:hyperlink>
      <w:r>
        <w:t xml:space="preserve"> </w:t>
      </w:r>
      <w:r>
        <w:t xml:space="preserve">ships</w:t>
      </w:r>
      <w:r>
        <w:t xml:space="preserve"> </w:t>
      </w:r>
      <w:r>
        <w:rPr>
          <w:i/>
          <w:iCs/>
        </w:rPr>
        <w:t xml:space="preserve">curated samples only</w:t>
      </w:r>
      <w:r>
        <w:t xml:space="preserve"> </w:t>
      </w:r>
      <w:r>
        <w:t xml:space="preserve">for</w:t>
      </w:r>
      <w:r>
        <w:t xml:space="preserve"> </w:t>
      </w:r>
      <w:r>
        <w:t xml:space="preserve">the v0.4 release. The full annotated corpus partitions remain under audit on the</w:t>
      </w:r>
      <w:r>
        <w:t xml:space="preserve"> </w:t>
      </w:r>
      <w:r>
        <w:t xml:space="preserve">GRNET ARIS national HPC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; they ship at v0.5 as a</w:t>
      </w:r>
      <w:r>
        <w:t xml:space="preserve"> </w:t>
      </w:r>
      <w:r>
        <w:t xml:space="preserve">separate Zenodo dataset record under CC-BY-4.0. The source-code snapshot at the</w:t>
      </w:r>
      <w:r>
        <w:t xml:space="preserve"> </w:t>
      </w:r>
      <w:r>
        <w:t xml:space="preserve">v0.4.0 Zenodo record is Apache-2.0.</w:t>
      </w:r>
    </w:p>
    <w:p>
      <w:pPr>
        <w:pStyle w:val="BodyText"/>
      </w:pPr>
      <w:r>
        <w:t xml:space="preserve">The toolkit’s readiness per module is summarised in §3.4 and on the public Tools</w:t>
      </w:r>
      <w:r>
        <w:t xml:space="preserve"> </w:t>
      </w:r>
      <w:r>
        <w:t xml:space="preserve">page at</w:t>
      </w:r>
      <w:r>
        <w:t xml:space="preserve"> </w:t>
      </w:r>
      <w:hyperlink r:id="rId27">
        <w:r>
          <w:rPr>
            <w:rStyle w:val="Hyperlink"/>
          </w:rPr>
          <w:t xml:space="preserve">https://athdgc.github.io/tools.html</w:t>
        </w:r>
      </w:hyperlink>
      <w:r>
        <w:t xml:space="preserve">. Five modules are LIVE today</w:t>
      </w:r>
      <w:r>
        <w:t xml:space="preserve"> </w:t>
      </w:r>
      <w:r>
        <w:t xml:space="preserve">(the Quarto template pack, the showcase generator, the corpus-fix toolkit, the</w:t>
      </w:r>
      <w:r>
        <w:t xml:space="preserve"> </w:t>
      </w:r>
      <w:r>
        <w:t xml:space="preserve">PROIEL XML 2.0 exporter inside the build pipeline, and the Stanza annotation job</w:t>
      </w:r>
      <w:r>
        <w:t xml:space="preserve"> </w:t>
      </w:r>
      <w:r>
        <w:t xml:space="preserve">script). Eight are IN SETUP and ship with the v0.5 release. The LightSIDE-AthDGC</w:t>
      </w:r>
      <w:r>
        <w:t xml:space="preserve"> </w:t>
      </w:r>
      <w:r>
        <w:t xml:space="preserve">syntactic-feature fork, the NoSketch-style concordancer, the Neo4j alignment</w:t>
      </w:r>
      <w:r>
        <w:t xml:space="preserve"> </w:t>
      </w:r>
      <w:r>
        <w:t xml:space="preserve">viewer, the valency-frame database client, the retranslation-pair browser, and</w:t>
      </w:r>
      <w:r>
        <w:t xml:space="preserve"> </w:t>
      </w:r>
      <w:r>
        <w:t xml:space="preserve">the retelling-chain explorer are FORTHCOMING at v0.5.</w:t>
      </w:r>
    </w:p>
    <w:bookmarkEnd w:id="33"/>
    <w:bookmarkStart w:id="34" w:name="acknowledgements"/>
    <w:p>
      <w:pPr>
        <w:pStyle w:val="Heading2"/>
      </w:pPr>
      <w:r>
        <w:t xml:space="preserve">6. Acknowledgements</w:t>
      </w:r>
    </w:p>
    <w:p>
      <w:pPr>
        <w:pStyle w:val="FirstParagraph"/>
      </w:pPr>
      <w:r>
        <w:t xml:space="preserve">Funded by the Hellenic Foundation for Research and Innovation (HFRI) under the</w:t>
      </w:r>
      <w:r>
        <w:t xml:space="preserve"> </w:t>
      </w:r>
      <w:r>
        <w:t xml:space="preserve">3rd Call for HFRI Research Projects to support Post-Doctoral Researchers,</w:t>
      </w:r>
      <w:r>
        <w:t xml:space="preserve"> </w:t>
      </w:r>
      <w:r>
        <w:t xml:space="preserve">Project No. 20577; with complementary support from the Greece 2.0 National</w:t>
      </w:r>
      <w:r>
        <w:t xml:space="preserve"> </w:t>
      </w:r>
      <w:r>
        <w:t xml:space="preserve">Recovery and Resilience Plan. Compute supplied by GRNET ARIS, the Greek</w:t>
      </w:r>
      <w:r>
        <w:t xml:space="preserve"> </w:t>
      </w:r>
      <w:r>
        <w:t xml:space="preserve">national high-performance computing cluster, under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p>
      <w:pPr>
        <w:pStyle w:val="BodyText"/>
      </w:pPr>
      <w:r>
        <w:t xml:space="preserve">The funded project is</w:t>
      </w:r>
      <w:r>
        <w:t xml:space="preserve"> </w:t>
      </w:r>
      <w:r>
        <w:rPr>
          <w:i/>
          <w:iCs/>
        </w:rPr>
        <w:t xml:space="preserve">CVL-CDSAML: A Corpus-based Valency Lexicon for a</w:t>
      </w:r>
      <w:r>
        <w:rPr>
          <w:i/>
          <w:iCs/>
        </w:rPr>
        <w:t xml:space="preserve"> </w:t>
      </w:r>
      <w:r>
        <w:rPr>
          <w:i/>
          <w:iCs/>
        </w:rPr>
        <w:t xml:space="preserve">Contrastive and Diachronic Study of Ancient and Medieval Languages</w:t>
      </w:r>
      <w:r>
        <w:t xml:space="preserve">.</w:t>
      </w:r>
    </w:p>
    <w:p>
      <w:pPr>
        <w:pStyle w:val="BodyText"/>
      </w:pPr>
      <w:r>
        <w:t xml:space="preserve">The team comprises Prof. Nikolaos Lavidas (Principal Investigator, NKUA),</w:t>
      </w:r>
      <w:r>
        <w:t xml:space="preserve"> </w:t>
      </w:r>
      <w:r>
        <w:t xml:space="preserve">Prof. Emerita Kiki Nikiforidou (NKUA; Co-Editor of the</w:t>
      </w:r>
      <w:r>
        <w:t xml:space="preserve"> </w:t>
      </w:r>
      <w:r>
        <w:rPr>
          <w:i/>
          <w:iCs/>
        </w:rPr>
        <w:t xml:space="preserve">Genres and Influential</w:t>
      </w:r>
      <w:r>
        <w:rPr>
          <w:i/>
          <w:iCs/>
        </w:rPr>
        <w:t xml:space="preserve"> </w:t>
      </w:r>
      <w:r>
        <w:rPr>
          <w:i/>
          <w:iCs/>
        </w:rPr>
        <w:t xml:space="preserve">Texts</w:t>
      </w:r>
      <w:r>
        <w:t xml:space="preserve"> </w:t>
      </w:r>
      <w:r>
        <w:t xml:space="preserve">volume), Prof. Dag Haug (University of Oslo; PROIEL Project Director),</w:t>
      </w:r>
      <w:r>
        <w:t xml:space="preserve"> </w:t>
      </w:r>
      <w:r>
        <w:t xml:space="preserve">Prof. Leonid Kulikov (Ghent University; diachronic typology, valency</w:t>
      </w:r>
      <w:r>
        <w:t xml:space="preserve"> </w:t>
      </w:r>
      <w:r>
        <w:t xml:space="preserve">questionnaires), Dr. Vassiliki Geka (NKUA; Post-Doctoral Researcher; Co-Editor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Genres and Influential Texts</w:t>
      </w:r>
      <w:r>
        <w:t xml:space="preserve"> </w:t>
      </w:r>
      <w:r>
        <w:t xml:space="preserve">volume), Dr. Vassileios Symeonidis</w:t>
      </w:r>
      <w:r>
        <w:t xml:space="preserve"> </w:t>
      </w:r>
      <w:r>
        <w:t xml:space="preserve">(NKUA; Post-Doctoral Researcher), Dr. Theodoros Michalareas (NKUA;</w:t>
      </w:r>
      <w:r>
        <w:t xml:space="preserve"> </w:t>
      </w:r>
      <w:r>
        <w:t xml:space="preserve">Post-Doctoral Researcher), Sofia Chionidi (NKUA; PhD Candidate), Anastasia</w:t>
      </w:r>
      <w:r>
        <w:t xml:space="preserve"> </w:t>
      </w:r>
      <w:r>
        <w:t xml:space="preserve">Tsiropina (NKUA; PhD Candidate), Eleni Plakoutsi (NKUA; PhD Candidate), and</w:t>
      </w:r>
      <w:r>
        <w:t xml:space="preserve"> </w:t>
      </w:r>
      <w:r>
        <w:t xml:space="preserve">Evangelos Argyropoulos (NKUA; Research Assistant).</w:t>
      </w:r>
    </w:p>
    <w:bookmarkEnd w:id="34"/>
    <w:bookmarkStart w:id="42" w:name="references"/>
    <w:p>
      <w:pPr>
        <w:pStyle w:val="Heading2"/>
      </w:pPr>
      <w:r>
        <w:t xml:space="preserve">References</w:t>
      </w:r>
    </w:p>
    <w:bookmarkStart w:id="41" w:name="refs"/>
    <w:bookmarkStart w:id="35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the 16th Conference of the European Chapter of the Association for Computational Linguistics: Main Volume (EACL 2021)</w:t>
      </w:r>
      <w:r>
        <w:t xml:space="preserve">, 2112–28.</w:t>
      </w:r>
    </w:p>
    <w:bookmarkEnd w:id="35"/>
    <w:bookmarkStart w:id="36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36"/>
    <w:bookmarkStart w:id="37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the 60th Annual Meeting of the Association for Computational Linguistics (ACL 2022), Volume 1: Long Papers</w:t>
      </w:r>
      <w:r>
        <w:t xml:space="preserve">, 878–91.</w:t>
      </w:r>
    </w:p>
    <w:bookmarkEnd w:id="37"/>
    <w:bookmarkStart w:id="38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, 27–34.</w:t>
      </w:r>
    </w:p>
    <w:bookmarkEnd w:id="38"/>
    <w:bookmarkStart w:id="39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39"/>
    <w:bookmarkStart w:id="40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the 58th Annual Meeting of the Association for Computational Linguistics: System Demonstrations (ACL 2020)</w:t>
      </w:r>
      <w:r>
        <w:t xml:space="preserve">, 101–8.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1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thdgc.github.io" TargetMode="External" /><Relationship Type="http://schemas.openxmlformats.org/officeDocument/2006/relationships/hyperlink" Id="rId28" Target="https://athdgc.github.io/status.html" TargetMode="External" /><Relationship Type="http://schemas.openxmlformats.org/officeDocument/2006/relationships/hyperlink" Id="rId27" Target="https://athdgc.github.io/tools.html" TargetMode="External" /><Relationship Type="http://schemas.openxmlformats.org/officeDocument/2006/relationships/hyperlink" Id="rId31" Target="https://athdgc.github.io/training.html" TargetMode="External" /><Relationship Type="http://schemas.openxmlformats.org/officeDocument/2006/relationships/hyperlink" Id="rId11" Target="https://doi.org/10.5281/zenodo.2043918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Lavidas; Kiki Nikiforidou; Dag Haug; Leonid Kulikov; Vassiliki Geka; Vassileios Symeonidis; Theodoros Michalareas; Sofia Chionidi; Anastasia Tsiropina; Eleni Plakoutsi; Evangelos Argyropoulos</dc:creator>
  <cp:keywords>diachronic linguistics, ancient Greek, Byzantine Greek, Modern Greek, Indo-European, PROIEL, dependency treebank, cross-lingual alignment, argument structure, retranslation</cp:keywords>
  <dcterms:created xsi:type="dcterms:W3CDTF">2026-06-06T19:44:22Z</dcterms:created>
  <dcterms:modified xsi:type="dcterms:W3CDTF">2026-06-06T19:44:22Z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dataset. It is, to the best of our knowledge, the first openly licensed dependency-parsed treebank of Greek that spans eight diachronic periods, namely Archaic, Classical, Koine, Late Antique, Byzantine, Late Byzantine, Early Modern, and Modern Greek, under a single PROIEL XML 2.0 schema, with verse-level cross-alignment of the New Testament to Latin (Vulgate), Gothic (Wulfila), Old Church Slavonic (Marianus), and Classical Armenian. AthDGC builds on the PROIEL Treebank Family (Haug and Jøhndal 2008, 27–34; Eckhoff et al. 2018, 29–65), which established the schema and the Koine-Greek reference set for the project. Annotation uses the Stanford Stanza PROIEL-trained pipeline; sentence-level alignment uses LaBSE; word-level alignment uses multilingual-BERT attention via AwesomeAlign. The v0.4 release ships curated samples and the open-source toolkit; the full annotated corpus partitions remain under v0.5 audit on GRNET ARIS. Quantitative scale, per-witness verse counts, and per-period annotated-row counts are reported as the v0.5 release notes, after the audit pass on ARIS completes.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GlossaContactLab Working Papers, NKUA digital edition</vt:lpwstr>
  </property>
  <property fmtid="{D5CDD505-2E9C-101B-9397-08002B2CF9AE}" pid="16" name="toc-title">
    <vt:lpwstr>Table of contents</vt:lpwstr>
  </property>
</Properties>
</file>