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of Greek that spans eight diachronic periods - Archaic, Classical,</w:t>
      </w:r>
      <w:r>
        <w:t xml:space="preserve"> </w:t>
      </w:r>
      <w:r>
        <w:t xml:space="preserve">Koine, Late Antique, Byzantine, Late Byzantine, Early Modern, and Modern -</w:t>
      </w:r>
      <w:r>
        <w:t xml:space="preserve"> </w:t>
      </w:r>
      <w:r>
        <w:t xml:space="preserve">under a single PROIEL XML 2.0 schema, with verse-level cross-alignment of the</w:t>
      </w:r>
      <w:r>
        <w:t xml:space="preserve"> </w:t>
      </w:r>
      <w:r>
        <w:t xml:space="preserve">New Testament to Latin (Vulgate), Gothic (Wulfila), Old Church Slavonic</w:t>
      </w:r>
      <w:r>
        <w:t xml:space="preserve"> </w:t>
      </w:r>
      <w:r>
        <w:t xml:space="preserve">(Marianus), and Classical Armenian. AthDGC builds on the PROIEL Treebank</w:t>
      </w:r>
      <w:r>
        <w:t xml:space="preserve"> </w:t>
      </w:r>
      <w:r>
        <w:t xml:space="preserve">Family (Haug &amp; Jøhndal 2008; Eckhoff et al. 2018), which established the</w:t>
      </w:r>
      <w:r>
        <w:t xml:space="preserve"> </w:t>
      </w:r>
      <w:r>
        <w:t xml:space="preserve">schema and the Koine-Greek reference set for the project. Annotation</w:t>
      </w:r>
      <w:r>
        <w:t xml:space="preserve"> </w:t>
      </w:r>
      <w:r>
        <w:t xml:space="preserve">uses the Stanford Stanza PROIEL-trained pipeline; sentence-level alignment</w:t>
      </w:r>
      <w:r>
        <w:t xml:space="preserve"> </w:t>
      </w:r>
      <w:r>
        <w:t xml:space="preserve">uses LaBSE; word-level alignment uses multilingual-BERT attention via</w:t>
      </w:r>
      <w:r>
        <w:t xml:space="preserve"> </w:t>
      </w:r>
      <w:r>
        <w:t xml:space="preserve">AwesomeAlign. The v0.4 release ships curated samples and the full open-source</w:t>
      </w:r>
      <w:r>
        <w:t xml:space="preserve"> </w:t>
      </w:r>
      <w:r>
        <w:t xml:space="preserve">toolkit; the full annotated corpus partitions remain under v0.5 audit on</w:t>
      </w:r>
      <w:r>
        <w:t xml:space="preserve"> </w:t>
      </w:r>
      <w:r>
        <w:t xml:space="preserve">GRNET ARIS. Quantitative scale, per-witness verse counts, and per-period</w:t>
      </w:r>
      <w:r>
        <w:t xml:space="preserve"> </w:t>
      </w:r>
      <w:r>
        <w:t xml:space="preserve">annotated-row counts are reported as the v0.5 release notes, after the audit</w:t>
      </w:r>
      <w:r>
        <w:t xml:space="preserve"> </w:t>
      </w:r>
      <w:r>
        <w:t xml:space="preserve">pass on ARIS completes.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+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+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+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The v0.4 release ships the curated samples on the</w:t>
      </w:r>
      <w:r>
        <w:t xml:space="preserve"> </w:t>
      </w:r>
      <w:r>
        <w:t xml:space="preserve">Samples page rather than full per-witness counts.</w:t>
      </w:r>
    </w:p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2026-06-05T19:35:15Z</dcterms:created>
  <dcterms:modified xsi:type="dcterms:W3CDTF">2026-06-05T19:35:15Z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 - Archaic, Classical, Koine, Late Antique, Byzantine, Late Byzantine, Early Modern, and Modern - under a single PROIEL XML 2.0 schema, with verse-level cross-alignment of the New Testament to Latin (Vulgate), Gothic (Wulfila), Old Church Slavonic (Marianus), and Classical Armenian. AthDGC builds on the PROIEL Treebank Family (Haug &amp; Jøhndal 2008; Eckhoff et al. 2018), which established the schema and the Koine-Greek reference set for the project. Annotation uses the Stanford Stanza PROIEL-trained pipeline; sentence-level alignment uses LaBSE; word-level alignment uses multilingual-BERT attention via AwesomeAlign. The v0.4 release ships curated samples and the full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