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Platform launch report - 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- from Homeric and Archaic texts to Modern Greek -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(the dependency-treebank (a collection of sentences whose grammatical structure has been analysed and stored) standard for early Indo-European languages, developed at Oslo)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(matching corresponding words or sentences between texts in different languages)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(an open research-data repository hosted at CERN that mints permanent DOIs)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 (the Greek national high-performance computing cluster, run by GRNET),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(the file format that stores each sentence as a tree of word-by-word grammatical relations, developed at Oslo)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(Stanford’s open-source Python pipeline that automatically tags, lemmatises, and parses sentences)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(the closed set of grammatical-relation labels the schema allows, e.g. sub, obj, obl, atr)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(a multilingual sentence-embedding model that maps sentences from many languages into a common vector space) embeddings (numeric vectors that represent the meaning of text)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(a neural language model trained on text from over 100 languages) attention via the AwesomeAlign (a word-alignment procedure that uses multilingual-BERT attention to match words across translations)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31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(a plain-text data format that stores one record per line) partitions; Neo4j (a graph database that stores data as nodes and connections rather than as tables)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 (a permissive open-source licence widely used for software); metadata + alignments CC-BY-4.0 (the Creative Commons Attribution 4.0 licence, which permits reuse with credit);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 (a Digital Object Identifier that always points to the latest version of a deposited record)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Start w:id="25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 CC-BY-SA, or</w:t>
      </w:r>
      <w:r>
        <w:t xml:space="preserve"> </w:t>
      </w:r>
      <w:r>
        <w:t xml:space="preserve">equivalent). The annotation layer is AthDGC-original and released under CC-BY-4.0. The</w:t>
      </w:r>
      <w:r>
        <w:t xml:space="preserve"> </w:t>
      </w:r>
      <w:r>
        <w:t xml:space="preserve">open-access chain is preserved from input through annotation to distribution.</w:t>
      </w:r>
    </w:p>
    <w:bookmarkStart w:id="23" w:name="greek---per-period-source-map"/>
    <w:p>
      <w:pPr>
        <w:pStyle w:val="Heading4"/>
      </w:pPr>
      <w:r>
        <w:t xml:space="preserve">Greek -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+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(UoC);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- 1928)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3"/>
    <w:bookmarkStart w:id="24" w:name="ie-parallels---per-language-source-map"/>
    <w:p>
      <w:pPr>
        <w:pStyle w:val="Heading4"/>
      </w:pPr>
      <w:r>
        <w:t xml:space="preserve">IE parallels -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 +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 +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rev.)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AthDGC uses an open-access antecedent</w:t>
      </w:r>
      <w:r>
        <w:t xml:space="preserve"> </w:t>
      </w:r>
      <w:r>
        <w:t xml:space="preserve">(e.g. pre-1928 Teubner; SBL GNT instead of Nestle-Aland) or, where unavoidable, short</w:t>
      </w:r>
      <w:r>
        <w:t xml:space="preserve"> </w:t>
      </w:r>
      <w:r>
        <w:t xml:space="preserve">quotation samples under fair use with full attribution. The annotation layer is always</w:t>
      </w:r>
      <w:r>
        <w:t xml:space="preserve"> </w:t>
      </w:r>
      <w:r>
        <w:t xml:space="preserve">AthDGC-original.</w:t>
      </w:r>
    </w:p>
    <w:bookmarkEnd w:id="24"/>
    <w:bookmarkEnd w:id="25"/>
    <w:bookmarkStart w:id="26" w:name="ie-parallels-covered"/>
    <w:p>
      <w:pPr>
        <w:pStyle w:val="Heading3"/>
      </w:pPr>
      <w:r>
        <w:t xml:space="preserve">3.2 IE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NT-aligned verses (v0.4)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3,512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  <w:tc>
          <w:tcPr/>
          <w:p>
            <w:pPr>
              <w:pStyle w:val="Compact"/>
            </w:pPr>
            <w:r>
              <w:t xml:space="preserve">6,861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ingestion</w:t>
            </w:r>
          </w:p>
        </w:tc>
        <w:tc>
          <w:tcPr/>
          <w:p>
            <w:pPr>
              <w:pStyle w:val="Compact"/>
            </w:pPr>
            <w:r>
              <w:t xml:space="preserve">0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+ 20th-c.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+ 1962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26"/>
    <w:bookmarkStart w:id="27" w:name="retelling-and-retranslation-chains"/>
    <w:p>
      <w:pPr>
        <w:pStyle w:val="Heading3"/>
      </w:pPr>
      <w:r>
        <w:t xml:space="preserve">3.3 Retelling and retranslation chains</w:t>
      </w:r>
    </w:p>
    <w:p>
      <w:pPr>
        <w:pStyle w:val="FirstParagraph"/>
      </w:pPr>
      <w:r>
        <w:t xml:space="preserve">Five chains are public on the Samples page. Each renders the same canonical passage across</w:t>
      </w:r>
      <w:r>
        <w:t xml:space="preserve"> </w:t>
      </w:r>
      <w:r>
        <w:t xml:space="preserve">periods (retelling, retranslation within Greek) or across languages (cross-IE retranslation),</w:t>
      </w:r>
      <w:r>
        <w:t xml:space="preserve"> </w:t>
      </w:r>
      <w:r>
        <w:t xml:space="preserve">with one PROIEL tree per node and a frame-stability gloss.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Iliad</w:t>
            </w:r>
            <w:r>
              <w:t xml:space="preserve"> </w:t>
            </w:r>
            <w:r>
              <w:t xml:space="preserve">1.1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Homer (8th c. BC); Tzetzes (12th c.); Kazantzakis/Kakridis (1955)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[obj:acc, voc:voc]</w:t>
            </w:r>
            <w:r>
              <w:t xml:space="preserve"> </w:t>
            </w:r>
            <w:r>
              <w:t xml:space="preserve">stable across 2,800 years; collapses only under Tzetzes’ narrative reframing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Psalm 1:1 across periods</w:t>
            </w:r>
          </w:p>
        </w:tc>
        <w:tc>
          <w:tcPr/>
          <w:p>
            <w:pPr>
              <w:pStyle w:val="Compact"/>
            </w:pPr>
            <w:r>
              <w:t xml:space="preserve">retranslation</w:t>
            </w:r>
          </w:p>
        </w:tc>
        <w:tc>
          <w:tcPr/>
          <w:p>
            <w:pPr>
              <w:pStyle w:val="Compact"/>
            </w:pPr>
            <w:r>
              <w:t xml:space="preserve">LXX (3rd c. BC); Byzantine (10th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pred-nom + sub + atr.rel-cl</w:t>
            </w:r>
            <w:r>
              <w:t xml:space="preserve"> </w:t>
            </w:r>
            <w:r>
              <w:t xml:space="preserve">stable; voice flips twice;</w:t>
            </w:r>
            <w:r>
              <w:t xml:space="preserve"> </w:t>
            </w:r>
            <w:r>
              <w:rPr>
                <w:i/>
                <w:iCs/>
              </w:rPr>
              <w:t xml:space="preserve">οὐκ -&gt; οὐ -&gt; δεν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 John 1:1 patristic + Modern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John (1st c.); Chrysostom (4th c.); John of Damascus (8th c.); Modern liturgical (post-1976)</w:t>
            </w:r>
          </w:p>
        </w:tc>
        <w:tc>
          <w:tcPr/>
          <w:p>
            <w:pPr>
              <w:pStyle w:val="Compact"/>
            </w:pPr>
            <w:r>
              <w:t xml:space="preserve">copular skeleton stable 2,000 years; patristic nodes nest under</w:t>
            </w:r>
            <w:r>
              <w:t xml:space="preserve"> </w:t>
            </w:r>
            <w:r>
              <w:rPr>
                <w:rStyle w:val="VerbatimChar"/>
              </w:rPr>
              <w:t xml:space="preserve">xcomp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i/>
                <w:iCs/>
              </w:rPr>
              <w:t xml:space="preserve">φησίν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Plato</w:t>
            </w:r>
            <w:r>
              <w:t xml:space="preserve"> </w:t>
            </w:r>
            <w:r>
              <w:rPr>
                <w:i/>
                <w:iCs/>
              </w:rPr>
              <w:t xml:space="preserve">Apology</w:t>
            </w:r>
            <w:r>
              <w:t xml:space="preserve"> </w:t>
            </w:r>
            <w:r>
              <w:t xml:space="preserve">17a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Plato (4th c. BC); Olympiodorus (6th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adv:neg + comp[sub, obl]</w:t>
            </w:r>
            <w:r>
              <w:t xml:space="preserve"> </w:t>
            </w:r>
            <w:r>
              <w:t xml:space="preserve">preserved; perfect aspect synthetic vs analytic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Genesis 1:1 across IE languages</w:t>
            </w:r>
          </w:p>
        </w:tc>
        <w:tc>
          <w:tcPr/>
          <w:p>
            <w:pPr>
              <w:pStyle w:val="Compact"/>
            </w:pPr>
            <w:r>
              <w:t xml:space="preserve">retranslation, cross-IE</w:t>
            </w:r>
          </w:p>
        </w:tc>
        <w:tc>
          <w:tcPr/>
          <w:p>
            <w:pPr>
              <w:pStyle w:val="Compact"/>
            </w:pPr>
            <w:r>
              <w:t xml:space="preserve">LXX Greek; Vulgate Latin; Wulfila Gothic; OCS Marianus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sub + obl/adv + obj + coord</w:t>
            </w:r>
            <w:r>
              <w:t xml:space="preserve"> </w:t>
            </w:r>
            <w:r>
              <w:t xml:space="preserve">stable across all four; only obl-vs-adv diverges in OCS</w:t>
            </w:r>
          </w:p>
        </w:tc>
      </w:tr>
    </w:tbl>
    <w:bookmarkEnd w:id="27"/>
    <w:bookmarkStart w:id="30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The AthDGC toolkit is organised as a set of OSI-licensed modules in three</w:t>
      </w:r>
      <w:r>
        <w:t xml:space="preserve"> </w:t>
      </w:r>
      <w:r>
        <w:t xml:space="preserve">readiness tiers. Five modules are LIVE in the public repo and can be cloned</w:t>
      </w:r>
      <w:r>
        <w:t xml:space="preserve"> </w:t>
      </w:r>
      <w:r>
        <w:t xml:space="preserve">and run today (the Quarto pack, the showcase generator, the corpus-fix</w:t>
      </w:r>
      <w:r>
        <w:t xml:space="preserve"> </w:t>
      </w:r>
      <w:r>
        <w:t xml:space="preserve">toolkit, the PROIEL XML 2.0 exporter that runs inside the build pipeline,</w:t>
      </w:r>
      <w:r>
        <w:t xml:space="preserve"> </w:t>
      </w:r>
      <w:r>
        <w:t xml:space="preserve">and the Stanza annotation job script). Eight modules are IN SETUP - working</w:t>
      </w:r>
      <w:r>
        <w:t xml:space="preserve"> </w:t>
      </w:r>
      <w:r>
        <w:t xml:space="preserve">in the project’s internal pack and migrating to a unified public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at v0.5 (the PROIEL XML 2.0 schema validator, the house-style</w:t>
      </w:r>
      <w:r>
        <w:t xml:space="preserve"> </w:t>
      </w:r>
      <w:r>
        <w:t xml:space="preserve">check, the argument-frame extractor, the Stanza fine-tuning scripts, the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PyPI package and the three Hugging Face model repos, whose</w:t>
      </w:r>
      <w:r>
        <w:t xml:space="preserve"> </w:t>
      </w:r>
      <w:r>
        <w:t xml:space="preserve">weights upload at v0.5). The remaining modules - the LightSIDE-AthDGC</w:t>
      </w:r>
      <w:r>
        <w:t xml:space="preserve"> </w:t>
      </w:r>
      <w:r>
        <w:t xml:space="preserve">syntactic-feature fork and its export scripts, the NoSketch-style CWB</w:t>
      </w:r>
      <w:r>
        <w:t xml:space="preserve"> </w:t>
      </w:r>
      <w:r>
        <w:t xml:space="preserve">indexer, the Neo4j alignment viewer, the valency-frame database client,</w:t>
      </w:r>
      <w:r>
        <w:t xml:space="preserve"> </w:t>
      </w:r>
      <w:r>
        <w:t xml:space="preserve">the retranslation-pair browser, and the retelling-chain explorer - are</w:t>
      </w:r>
      <w:r>
        <w:t xml:space="preserve"> </w:t>
      </w:r>
      <w:r>
        <w:t xml:space="preserve">FORTHCOMING (v0.5): described here as designed, implementation lands at</w:t>
      </w:r>
      <w:r>
        <w:t xml:space="preserve"> </w:t>
      </w:r>
      <w:r>
        <w:t xml:space="preserve">v0.5. The complete tier matrix per module is on the public 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 </w:t>
      </w:r>
      <w:r>
        <w:t xml:space="preserve">and on the Status page at</w:t>
      </w:r>
      <w:r>
        <w:t xml:space="preserve"> </w:t>
      </w:r>
      <w:hyperlink r:id="rId29">
        <w:r>
          <w:rPr>
            <w:rStyle w:val="Hyperlink"/>
          </w:rPr>
          <w:t xml:space="preserve">https://athdgc.github.io/status.html</w:t>
        </w:r>
      </w:hyperlink>
      <w:r>
        <w:t xml:space="preserve">.</w:t>
      </w:r>
    </w:p>
    <w:p>
      <w:pPr>
        <w:pStyle w:val="BodyText"/>
      </w:pPr>
      <w:r>
        <w:t xml:space="preserve">Across the toolkit, the annotation layer plus the corpus samples are</w:t>
      </w:r>
      <w:r>
        <w:t xml:space="preserve"> </w:t>
      </w:r>
      <w:r>
        <w:t xml:space="preserve">CC-BY-4.0; tool code is Apache-2.0 (most modules), MIT (Quarto pack +</w:t>
      </w:r>
      <w:r>
        <w:t xml:space="preserve"> </w:t>
      </w:r>
      <w:r>
        <w:t xml:space="preserve">Neo4j viewer), BSD-3-Clause (upstream LightSIDE, retained on the patch</w:t>
      </w:r>
      <w:r>
        <w:t xml:space="preserve"> </w:t>
      </w:r>
      <w:r>
        <w:t xml:space="preserve">set), and GPL-3.0 (upstream CWB, retained on the index builder).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tools/lightside-athdgc/</w:t>
            </w:r>
            <w:r>
              <w:t xml:space="preserve"> </w:t>
            </w:r>
            <w:r>
              <w:t xml:space="preserve">(LightSIDE for PROIEL arcs + frames + morphology)</w:t>
            </w:r>
          </w:p>
        </w:tc>
        <w:tc>
          <w:tcPr/>
          <w:p>
            <w:pPr>
              <w:pStyle w:val="Compact"/>
            </w:pPr>
            <w:r>
              <w:t xml:space="preserve">BSD-3-Clause + 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tools/athdgc_to_lightside_syntax.py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tools/athdgc_to_lightside.py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tools/proiel_export/</w:t>
            </w:r>
            <w:r>
              <w:t xml:space="preserve"> </w:t>
            </w:r>
            <w:r>
              <w:t xml:space="preserve">(Stanza -&gt; PROIEL XML 2.0)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tools/proiel_validate.py</w:t>
            </w:r>
            <w:r>
              <w:t xml:space="preserve"> </w:t>
            </w:r>
            <w:r>
              <w:t xml:space="preserve">(v0.5 schema linter)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tools/arg_structure.py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tools/fix_corpus_data.py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tools/valency_db.py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tools/stanza-finetune/</w:t>
            </w:r>
            <w:r>
              <w:t xml:space="preserve"> </w:t>
            </w:r>
            <w:r>
              <w:t xml:space="preserve">(diachronic Stanza checkpoints (saved snapshots of a trained model))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tools/build_cwb_index.sh</w:t>
            </w:r>
            <w:r>
              <w:t xml:space="preserve"> </w:t>
            </w:r>
            <w:r>
              <w:t xml:space="preserve">(NoSketch-style CWB index)</w:t>
            </w:r>
          </w:p>
        </w:tc>
        <w:tc>
          <w:tcPr/>
          <w:p>
            <w:pPr>
              <w:pStyle w:val="Compac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tools/cwb-recipes/</w:t>
            </w:r>
            <w:r>
              <w:t xml:space="preserve"> </w:t>
            </w:r>
            <w:r>
              <w:t xml:space="preserve">(sample CQL queries)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tools/showcase/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51_build_showcase_site.py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tools/neo4j-align-viewer/</w:t>
            </w:r>
            <w:r>
              <w:t xml:space="preserve"> </w:t>
            </w:r>
            <w:r>
              <w:t xml:space="preserve">(cross-lingual graph viewer)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tools/retranslation-browser/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tools/retelling-explorer/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athdgc-quarto/</w:t>
            </w:r>
            <w:r>
              <w:t xml:space="preserve"> </w:t>
            </w:r>
            <w:r>
              <w:t xml:space="preserve">(this Working Paper + the public site)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checkpoints</w:t>
            </w:r>
            <w:r>
              <w:t xml:space="preserve"> </w:t>
            </w:r>
            <w:r>
              <w:rPr>
                <w:rStyle w:val="VerbatimChar"/>
              </w:rPr>
              <w:t xml:space="preserve">athdgc/grc_byz_proiel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grc_lbem_proiel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grc_mod_proiel</w:t>
            </w:r>
            <w:r>
              <w:t xml:space="preserve"> </w:t>
            </w:r>
            <w:r>
              <w:t xml:space="preserve">(HF mirror 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Two automated gates run on every community PR: a PROIEL XML 2.0 schema validator (rejecting</w:t>
      </w:r>
      <w:r>
        <w:t xml:space="preserve"> </w:t>
      </w:r>
      <w:r>
        <w:t xml:space="preserve">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 and a house-style check</w:t>
      </w:r>
      <w:r>
        <w:t xml:space="preserve"> </w:t>
      </w:r>
      <w:r>
        <w:t xml:space="preserve">(rejecting AI-marker vocabulary and em-dashes).</w:t>
      </w:r>
    </w:p>
    <w:bookmarkEnd w:id="30"/>
    <w:bookmarkEnd w:id="31"/>
    <w:bookmarkStart w:id="35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(a database that records which token in language A corresponds to which token in language B)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(further trained on new data to adapt it to a particular text type)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are trained on ARIS; the Hugging Face (a public hosting platform for machine-learning models and datasets) mirror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is live at</w:t>
      </w:r>
      <w:r>
        <w:t xml:space="preserve"> </w:t>
      </w:r>
      <w:hyperlink r:id="rId32">
        <w:r>
          <w:rPr>
            <w:rStyle w:val="Hyperlink"/>
          </w:rPr>
          <w:t xml:space="preserve">https://huggingface.co/AthDGC</w:t>
        </w:r>
      </w:hyperlink>
      <w:r>
        <w:t xml:space="preserve"> </w:t>
      </w:r>
      <w:r>
        <w:t xml:space="preserve">with placeholder READMEs,</w:t>
      </w:r>
      <w:r>
        <w:t xml:space="preserve"> </w:t>
      </w:r>
      <w:r>
        <w:t xml:space="preserve">and the model weights ship at v0.5. The PyPI (the Python Package Index, the central archive that pip downloads packages from)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at</w:t>
      </w:r>
      <w:r>
        <w:t xml:space="preserve"> </w:t>
      </w:r>
      <w:hyperlink r:id="rId33">
        <w:r>
          <w:rPr>
            <w:rStyle w:val="Hyperlink"/>
          </w:rPr>
          <w:t xml:space="preserve">https://pypi.org/project/athdgc-tools/</w:t>
        </w:r>
      </w:hyperlink>
      <w:r>
        <w:t xml:space="preserve"> </w:t>
      </w:r>
      <w:r>
        <w:t xml:space="preserve">with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; the full toolkit</w:t>
      </w:r>
      <w:r>
        <w:t xml:space="preserve"> </w:t>
      </w:r>
      <w:r>
        <w:t xml:space="preserve">replaces the stub at v0.5. The checkpoints can be loaded directly into Stanza for</w:t>
      </w:r>
      <w:r>
        <w:t xml:space="preserve"> </w:t>
      </w:r>
      <w:r>
        <w:t xml:space="preserve">parsing new Greek diachronic data once the weights are published. The LightSIDE-AthDGC (the Lavidas-extension fork of LightSIDE that operates on syntactic features rather than only text features) fork</w:t>
      </w:r>
      <w:r>
        <w:t xml:space="preserve"> </w:t>
      </w:r>
      <w:r>
        <w:t xml:space="preserve">extends LightSIDE to work on syntactic features (dependency arcs (the head-to-dependent links between words in a parsed sentence),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(a browser-based slide framework) slides, .docx, .pptx,</w:t>
      </w:r>
      <w:r>
        <w:t xml:space="preserve"> </w:t>
      </w:r>
      <w:r>
        <w:t xml:space="preserve">Beamer (a LaTeX-based slide format used in academic talks),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34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5"/>
    <w:bookmarkStart w:id="36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(high-performance computing, i.e. a cluster of fast machines used for heavy computation)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toolkit’s readiness per module is summarised in §3.4 and on the public</w:t>
      </w:r>
      <w:r>
        <w:t xml:space="preserve"> </w:t>
      </w:r>
      <w:r>
        <w:t xml:space="preserve">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. Five modules are LIVE</w:t>
      </w:r>
      <w:r>
        <w:t xml:space="preserve"> </w:t>
      </w:r>
      <w:r>
        <w:t xml:space="preserve">today (the Quarto template pack, the showcase generator, the corpus-fix</w:t>
      </w:r>
      <w:r>
        <w:t xml:space="preserve"> </w:t>
      </w:r>
      <w:r>
        <w:t xml:space="preserve">toolkit, the PROIEL XML 2.0 exporter inside the build pipeline, and the</w:t>
      </w:r>
      <w:r>
        <w:t xml:space="preserve"> </w:t>
      </w:r>
      <w:r>
        <w:t xml:space="preserve">Stanza annotation job script). Eight are IN SETUP and ship with the v0.5</w:t>
      </w:r>
      <w:r>
        <w:t xml:space="preserve"> </w:t>
      </w:r>
      <w:r>
        <w:t xml:space="preserve">release. The LightSIDE-AthDGC syntactic-feature fork, the NoSketch-style</w:t>
      </w:r>
      <w:r>
        <w:t xml:space="preserve"> </w:t>
      </w:r>
      <w:r>
        <w:t xml:space="preserve">concordancer, the Neo4j alignment viewer, the valency-frame database</w:t>
      </w:r>
      <w:r>
        <w:t xml:space="preserve"> </w:t>
      </w:r>
      <w:r>
        <w:t xml:space="preserve">client, the retranslation-pair browser, and the retelling-chain explorer</w:t>
      </w:r>
      <w:r>
        <w:t xml:space="preserve"> </w:t>
      </w:r>
      <w:r>
        <w:t xml:space="preserve">are FORTHCOMING (v0.5).</w:t>
      </w:r>
    </w:p>
    <w:bookmarkEnd w:id="36"/>
    <w:bookmarkStart w:id="37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(NKUA;</w:t>
      </w:r>
      <w:r>
        <w:t xml:space="preserve"> </w:t>
      </w:r>
      <w:r>
        <w:t xml:space="preserve">Co-Editor,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Prof. Dag Haug (Oslo, PROIEL Project</w:t>
      </w:r>
      <w:r>
        <w:t xml:space="preserve"> </w:t>
      </w:r>
      <w:r>
        <w:t xml:space="preserve">Director), Prof. Leonid Kulikov (Ghent; Diachronic typology, valency questionnaires),</w:t>
      </w:r>
      <w:r>
        <w:t xml:space="preserve"> </w:t>
      </w:r>
      <w:r>
        <w:t xml:space="preserve">Dr. Vassiliki Geka (NKUA; Post-Doctoral Researcher; Co-Editor,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Dr. Vassileios Symeonidis (NKUA; Post-Doctoral Researcher),</w:t>
      </w:r>
      <w:r>
        <w:t xml:space="preserve"> </w:t>
      </w:r>
      <w:r>
        <w:t xml:space="preserve">Dr. Theodoros Michalareas (NKUA; Post-Doctoral Researcher), Sofia Chionidi (NKUA;</w:t>
      </w:r>
      <w:r>
        <w:t xml:space="preserve"> </w:t>
      </w:r>
      <w:r>
        <w:t xml:space="preserve">PhD Candidate), Anastasia Tsiropina (NKUA; PhD Candidate), Eleni Plakoutsi (NKUA;</w:t>
      </w:r>
      <w:r>
        <w:t xml:space="preserve"> </w:t>
      </w:r>
      <w:r>
        <w:t xml:space="preserve">PhD Candidate), Evangelos Argyropoulos (NKUA; Research Assistant).</w:t>
      </w:r>
    </w:p>
    <w:bookmarkEnd w:id="37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8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38"/>
    <w:bookmarkStart w:id="39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9"/>
    <w:bookmarkStart w:id="40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40"/>
    <w:bookmarkStart w:id="41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41"/>
    <w:bookmarkStart w:id="42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2"/>
    <w:bookmarkStart w:id="43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2026-06-05T19:01:20Z</dcterms:created>
  <dcterms:modified xsi:type="dcterms:W3CDTF">2026-06-05T19:01:20Z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- from Homeric and Archaic texts to Modern Greek -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Platform launch report - GlossaContactLab Working Papers, NKUA digital edition</vt:lpwstr>
  </property>
  <property fmtid="{D5CDD505-2E9C-101B-9397-08002B2CF9AE}" pid="16" name="toc-title">
    <vt:lpwstr>Table of contents</vt:lpwstr>
  </property>
</Properties>
</file>