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855B6" w14:textId="77777777" w:rsidR="001016BA" w:rsidRDefault="001016BA"/>
    <w:p w14:paraId="25D36F51" w14:textId="77777777" w:rsidR="001016BA" w:rsidRPr="001016BA" w:rsidRDefault="001016BA" w:rsidP="001016BA">
      <w:pPr>
        <w:jc w:val="center"/>
        <w:rPr>
          <w:b/>
          <w:bCs/>
        </w:rPr>
      </w:pPr>
      <w:r w:rsidRPr="001016BA">
        <w:rPr>
          <w:b/>
          <w:bCs/>
        </w:rPr>
        <w:t>Diachronic corpora from Greek to Norwegian</w:t>
      </w:r>
    </w:p>
    <w:p w14:paraId="3B62457A" w14:textId="77777777" w:rsidR="001016BA" w:rsidRPr="001016BA" w:rsidRDefault="001016BA" w:rsidP="001016BA">
      <w:pPr>
        <w:jc w:val="center"/>
        <w:rPr>
          <w:b/>
          <w:bCs/>
        </w:rPr>
      </w:pPr>
      <w:r w:rsidRPr="001016BA">
        <w:rPr>
          <w:b/>
          <w:bCs/>
        </w:rPr>
        <w:t>Lessons learned and future plans</w:t>
      </w:r>
    </w:p>
    <w:p w14:paraId="014C08CC" w14:textId="77777777" w:rsidR="001016BA" w:rsidRDefault="001016BA"/>
    <w:p w14:paraId="31210D89" w14:textId="2304916F" w:rsidR="003D497B" w:rsidRDefault="001016BA">
      <w:r w:rsidRPr="001016BA">
        <w:t xml:space="preserve">In this talk, I will discuss best practices for large-scale diachronic treebanks that span data from several genres. I will first reflect on the experiences from the PROIEL treebanks, including the later additions of post-classical Greek and Latin texts such as </w:t>
      </w:r>
      <w:proofErr w:type="spellStart"/>
      <w:r w:rsidRPr="001016BA">
        <w:t>Sphrantzes</w:t>
      </w:r>
      <w:proofErr w:type="spellEnd"/>
      <w:r w:rsidRPr="001016BA">
        <w:t xml:space="preserve"> and the </w:t>
      </w:r>
      <w:proofErr w:type="spellStart"/>
      <w:r w:rsidRPr="001016BA">
        <w:t>Peregrinatio</w:t>
      </w:r>
      <w:proofErr w:type="spellEnd"/>
      <w:r w:rsidRPr="001016BA">
        <w:t xml:space="preserve"> </w:t>
      </w:r>
      <w:proofErr w:type="spellStart"/>
      <w:r w:rsidRPr="001016BA">
        <w:t>Aetheriae</w:t>
      </w:r>
      <w:proofErr w:type="spellEnd"/>
      <w:r w:rsidRPr="001016BA">
        <w:t>. I will then tell you about how those experiences inform our current project of building a diachronic treebank of Norwegian. Finally, I ask what, if anything, has changed in the neural age when it comes to how we create such treebanks.</w:t>
      </w:r>
    </w:p>
    <w:sectPr w:rsidR="003D497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97B"/>
    <w:rsid w:val="001016BA"/>
    <w:rsid w:val="003D497B"/>
    <w:rsid w:val="00C5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42018"/>
  <w15:chartTrackingRefBased/>
  <w15:docId w15:val="{C198F444-5DAE-4F3C-80BA-32085EEE8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Geka Vasiliki (Γκέκα Βασιλική)</dc:creator>
  <cp:keywords/>
  <dc:description/>
  <cp:lastModifiedBy>Geka Vasiliki (Γκέκα Βασιλική)</cp:lastModifiedBy>
  <cp:revision>2</cp:revision>
  <dcterms:created xsi:type="dcterms:W3CDTF">2025-11-03T21:42:00Z</dcterms:created>
  <dcterms:modified xsi:type="dcterms:W3CDTF">2025-11-03T21:42:00Z</dcterms:modified>
</cp:coreProperties>
</file>