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0D3C" w14:textId="388CFA4C" w:rsidR="001C21FE" w:rsidRPr="00EA5BA5" w:rsidRDefault="001C21FE" w:rsidP="001C21F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A5BA5">
        <w:rPr>
          <w:rFonts w:asciiTheme="majorBidi" w:hAnsiTheme="majorBidi" w:cstheme="majorBidi"/>
          <w:sz w:val="24"/>
          <w:szCs w:val="24"/>
        </w:rPr>
        <w:t>Kiki Nikiforidou</w:t>
      </w:r>
    </w:p>
    <w:p w14:paraId="0A1D6468" w14:textId="5DF07281" w:rsidR="001C21FE" w:rsidRPr="00EA5BA5" w:rsidRDefault="001C21FE" w:rsidP="001C21F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A5BA5">
        <w:rPr>
          <w:rFonts w:asciiTheme="majorBidi" w:hAnsiTheme="majorBidi" w:cstheme="majorBidi"/>
          <w:sz w:val="24"/>
          <w:szCs w:val="24"/>
        </w:rPr>
        <w:t>National and Kapodistrian University of Athens</w:t>
      </w:r>
    </w:p>
    <w:p w14:paraId="6E6D5C4E" w14:textId="1ABCA803" w:rsidR="001C21FE" w:rsidRPr="00EA5BA5" w:rsidRDefault="001C21FE" w:rsidP="001C21F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EA5BA5">
        <w:rPr>
          <w:rFonts w:asciiTheme="majorBidi" w:hAnsiTheme="majorBidi" w:cstheme="majorBidi"/>
          <w:sz w:val="24"/>
          <w:szCs w:val="24"/>
        </w:rPr>
        <w:t>vnikifor@enl.uoa.gr</w:t>
      </w:r>
    </w:p>
    <w:p w14:paraId="3396464C" w14:textId="77777777" w:rsidR="001C21FE" w:rsidRPr="00D838D2" w:rsidRDefault="001C21FE" w:rsidP="009F43BC">
      <w:pPr>
        <w:rPr>
          <w:sz w:val="24"/>
          <w:szCs w:val="24"/>
        </w:rPr>
      </w:pPr>
    </w:p>
    <w:p w14:paraId="2CEA3909" w14:textId="77777777" w:rsidR="00E2503F" w:rsidRPr="00EF034F" w:rsidRDefault="00E2503F" w:rsidP="00E2503F">
      <w:pPr>
        <w:spacing w:after="0" w:line="320" w:lineRule="atLeast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Arrested change and construction preservation in the context of genre.</w:t>
      </w:r>
    </w:p>
    <w:p w14:paraId="309AD72E" w14:textId="77777777" w:rsidR="00E2503F" w:rsidRPr="00EF034F" w:rsidRDefault="00E2503F" w:rsidP="00E2503F">
      <w:pPr>
        <w:spacing w:after="0" w:line="320" w:lineRule="atLeast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F034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The conservative effect of</w:t>
      </w:r>
      <w:r w:rsidRPr="00EF034F">
        <w:rPr>
          <w:rFonts w:asciiTheme="majorBidi" w:hAnsiTheme="majorBidi" w:cstheme="majorBidi"/>
          <w:b/>
          <w:bCs/>
          <w:sz w:val="24"/>
          <w:szCs w:val="24"/>
        </w:rPr>
        <w:t xml:space="preserve"> stage directions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in English and Greek</w:t>
      </w:r>
    </w:p>
    <w:p w14:paraId="0D1D44FE" w14:textId="77777777" w:rsidR="00E2503F" w:rsidRDefault="00E2503F" w:rsidP="005939F4">
      <w:pPr>
        <w:jc w:val="both"/>
        <w:rPr>
          <w:sz w:val="24"/>
          <w:szCs w:val="24"/>
        </w:rPr>
      </w:pPr>
    </w:p>
    <w:p w14:paraId="597578FE" w14:textId="3AAB29EE" w:rsidR="00EA5BA5" w:rsidRDefault="00EA5BA5" w:rsidP="006347A4">
      <w:pPr>
        <w:jc w:val="both"/>
        <w:rPr>
          <w:rFonts w:asciiTheme="majorBidi" w:hAnsiTheme="majorBidi" w:cstheme="majorBidi"/>
          <w:sz w:val="24"/>
          <w:szCs w:val="24"/>
        </w:rPr>
      </w:pPr>
      <w:r w:rsidRPr="00EA5BA5">
        <w:rPr>
          <w:rFonts w:asciiTheme="majorBidi" w:hAnsiTheme="majorBidi" w:cstheme="majorBidi"/>
          <w:sz w:val="24"/>
          <w:szCs w:val="24"/>
        </w:rPr>
        <w:t xml:space="preserve">The </w:t>
      </w:r>
      <w:r>
        <w:rPr>
          <w:rFonts w:asciiTheme="majorBidi" w:hAnsiTheme="majorBidi" w:cstheme="majorBidi"/>
          <w:sz w:val="24"/>
          <w:szCs w:val="24"/>
        </w:rPr>
        <w:t xml:space="preserve">present </w:t>
      </w:r>
      <w:r w:rsidRPr="00EA5BA5">
        <w:rPr>
          <w:rFonts w:asciiTheme="majorBidi" w:hAnsiTheme="majorBidi" w:cstheme="majorBidi"/>
          <w:sz w:val="24"/>
          <w:szCs w:val="24"/>
        </w:rPr>
        <w:t xml:space="preserve">talk contributes to the </w:t>
      </w:r>
      <w:r>
        <w:rPr>
          <w:rFonts w:asciiTheme="majorBidi" w:hAnsiTheme="majorBidi" w:cstheme="majorBidi"/>
          <w:sz w:val="24"/>
          <w:szCs w:val="24"/>
        </w:rPr>
        <w:t>discussion on “</w:t>
      </w:r>
      <w:r w:rsidRPr="00EA5BA5">
        <w:rPr>
          <w:rFonts w:asciiTheme="majorBidi" w:hAnsiTheme="majorBidi" w:cstheme="majorBidi"/>
          <w:sz w:val="24"/>
          <w:szCs w:val="24"/>
        </w:rPr>
        <w:t>agile</w:t>
      </w:r>
      <w:r>
        <w:rPr>
          <w:rFonts w:asciiTheme="majorBidi" w:hAnsiTheme="majorBidi" w:cstheme="majorBidi"/>
          <w:sz w:val="24"/>
          <w:szCs w:val="24"/>
        </w:rPr>
        <w:t>” vs “</w:t>
      </w:r>
      <w:r w:rsidRPr="00EA5BA5">
        <w:rPr>
          <w:rFonts w:asciiTheme="majorBidi" w:hAnsiTheme="majorBidi" w:cstheme="majorBidi"/>
          <w:sz w:val="24"/>
          <w:szCs w:val="24"/>
        </w:rPr>
        <w:t>uptight</w:t>
      </w:r>
      <w:r>
        <w:rPr>
          <w:rFonts w:asciiTheme="majorBidi" w:hAnsiTheme="majorBidi" w:cstheme="majorBidi"/>
          <w:sz w:val="24"/>
          <w:szCs w:val="24"/>
        </w:rPr>
        <w:t>”</w:t>
      </w:r>
      <w:r w:rsidRPr="00EA5BA5">
        <w:rPr>
          <w:rFonts w:asciiTheme="majorBidi" w:hAnsiTheme="majorBidi" w:cstheme="majorBidi"/>
          <w:sz w:val="24"/>
          <w:szCs w:val="24"/>
        </w:rPr>
        <w:t xml:space="preserve"> genres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r w:rsidR="006347A4" w:rsidRPr="006347A4">
        <w:rPr>
          <w:rFonts w:asciiTheme="majorBidi" w:hAnsiTheme="majorBidi" w:cstheme="majorBidi"/>
          <w:sz w:val="24"/>
          <w:szCs w:val="24"/>
        </w:rPr>
        <w:t>Biber and Finegan 1989</w:t>
      </w:r>
      <w:r w:rsidR="006347A4">
        <w:rPr>
          <w:rFonts w:asciiTheme="majorBidi" w:hAnsiTheme="majorBidi" w:cstheme="majorBidi"/>
          <w:sz w:val="24"/>
          <w:szCs w:val="24"/>
        </w:rPr>
        <w:t xml:space="preserve">; </w:t>
      </w:r>
      <w:r w:rsidRPr="00EA5BA5">
        <w:rPr>
          <w:rFonts w:asciiTheme="majorBidi" w:hAnsiTheme="majorBidi" w:cstheme="majorBidi"/>
          <w:sz w:val="24"/>
          <w:szCs w:val="24"/>
        </w:rPr>
        <w:t>Mair and Hundt 1999),</w:t>
      </w:r>
      <w:r>
        <w:rPr>
          <w:rFonts w:asciiTheme="majorBidi" w:hAnsiTheme="majorBidi" w:cstheme="majorBidi"/>
          <w:sz w:val="24"/>
          <w:szCs w:val="24"/>
        </w:rPr>
        <w:t xml:space="preserve"> as it relates to language change. Drawing on data from </w:t>
      </w:r>
      <w:r w:rsidR="00535643">
        <w:rPr>
          <w:rFonts w:asciiTheme="majorBidi" w:hAnsiTheme="majorBidi" w:cstheme="majorBidi"/>
          <w:sz w:val="24"/>
          <w:szCs w:val="24"/>
        </w:rPr>
        <w:t xml:space="preserve">the </w:t>
      </w:r>
      <w:r>
        <w:rPr>
          <w:rFonts w:asciiTheme="majorBidi" w:hAnsiTheme="majorBidi" w:cstheme="majorBidi"/>
          <w:sz w:val="24"/>
          <w:szCs w:val="24"/>
        </w:rPr>
        <w:t>genre</w:t>
      </w:r>
      <w:r w:rsidR="00535643">
        <w:rPr>
          <w:rFonts w:asciiTheme="majorBidi" w:hAnsiTheme="majorBidi" w:cstheme="majorBidi"/>
          <w:sz w:val="24"/>
          <w:szCs w:val="24"/>
        </w:rPr>
        <w:t xml:space="preserve"> of</w:t>
      </w:r>
      <w:r>
        <w:rPr>
          <w:rFonts w:asciiTheme="majorBidi" w:hAnsiTheme="majorBidi" w:cstheme="majorBidi"/>
          <w:sz w:val="24"/>
          <w:szCs w:val="24"/>
        </w:rPr>
        <w:t xml:space="preserve"> stage directions</w:t>
      </w:r>
      <w:r w:rsidR="00535643">
        <w:rPr>
          <w:rFonts w:asciiTheme="majorBidi" w:hAnsiTheme="majorBidi" w:cstheme="majorBidi"/>
          <w:sz w:val="24"/>
          <w:szCs w:val="24"/>
        </w:rPr>
        <w:t xml:space="preserve"> in</w:t>
      </w:r>
      <w:r>
        <w:rPr>
          <w:rFonts w:asciiTheme="majorBidi" w:hAnsiTheme="majorBidi" w:cstheme="majorBidi"/>
          <w:sz w:val="24"/>
          <w:szCs w:val="24"/>
        </w:rPr>
        <w:t xml:space="preserve"> two different languages, English and Greek, I </w:t>
      </w:r>
      <w:r w:rsidR="00927F2E">
        <w:rPr>
          <w:rFonts w:asciiTheme="majorBidi" w:hAnsiTheme="majorBidi" w:cstheme="majorBidi"/>
          <w:sz w:val="24"/>
          <w:szCs w:val="24"/>
        </w:rPr>
        <w:t>argue that stage directions qualify as an especially uptight genre, resisting change in visible ways</w:t>
      </w:r>
      <w:r w:rsidR="003359BF">
        <w:rPr>
          <w:rFonts w:asciiTheme="majorBidi" w:hAnsiTheme="majorBidi" w:cstheme="majorBidi"/>
          <w:sz w:val="24"/>
          <w:szCs w:val="24"/>
        </w:rPr>
        <w:t>.</w:t>
      </w:r>
      <w:r w:rsidR="00927F2E">
        <w:rPr>
          <w:rFonts w:asciiTheme="majorBidi" w:hAnsiTheme="majorBidi" w:cstheme="majorBidi"/>
          <w:sz w:val="24"/>
          <w:szCs w:val="24"/>
        </w:rPr>
        <w:t xml:space="preserve"> For English</w:t>
      </w:r>
      <w:r w:rsidR="003A4814">
        <w:rPr>
          <w:rFonts w:asciiTheme="majorBidi" w:hAnsiTheme="majorBidi" w:cstheme="majorBidi"/>
          <w:sz w:val="24"/>
          <w:szCs w:val="24"/>
        </w:rPr>
        <w:t>, this results in the preservation of a construction that goes back to Latin and, as fully conventionalized and transferable beyond the original context, is added to the synchronic constructional network</w:t>
      </w:r>
      <w:r w:rsidR="006347A4">
        <w:rPr>
          <w:rFonts w:asciiTheme="majorBidi" w:hAnsiTheme="majorBidi" w:cstheme="majorBidi"/>
          <w:sz w:val="24"/>
          <w:szCs w:val="24"/>
        </w:rPr>
        <w:t xml:space="preserve"> (Nikiforidou</w:t>
      </w:r>
      <w:r w:rsidR="0039511D">
        <w:rPr>
          <w:rFonts w:asciiTheme="majorBidi" w:hAnsiTheme="majorBidi" w:cstheme="majorBidi"/>
          <w:sz w:val="24"/>
          <w:szCs w:val="24"/>
        </w:rPr>
        <w:t xml:space="preserve"> 2021)</w:t>
      </w:r>
      <w:r w:rsidR="003A4814">
        <w:rPr>
          <w:rFonts w:asciiTheme="majorBidi" w:hAnsiTheme="majorBidi" w:cstheme="majorBidi"/>
          <w:sz w:val="24"/>
          <w:szCs w:val="24"/>
        </w:rPr>
        <w:t xml:space="preserve">. </w:t>
      </w:r>
      <w:r w:rsidR="003359BF">
        <w:rPr>
          <w:rFonts w:asciiTheme="majorBidi" w:hAnsiTheme="majorBidi" w:cstheme="majorBidi"/>
          <w:sz w:val="24"/>
          <w:szCs w:val="24"/>
        </w:rPr>
        <w:t xml:space="preserve">For Greek, uptightness is manifested in the systematic </w:t>
      </w:r>
      <w:r w:rsidR="006347A4">
        <w:rPr>
          <w:rFonts w:asciiTheme="majorBidi" w:hAnsiTheme="majorBidi" w:cstheme="majorBidi"/>
          <w:sz w:val="24"/>
          <w:szCs w:val="24"/>
        </w:rPr>
        <w:t xml:space="preserve">and consistent </w:t>
      </w:r>
      <w:r w:rsidR="003359BF">
        <w:rPr>
          <w:rFonts w:asciiTheme="majorBidi" w:hAnsiTheme="majorBidi" w:cstheme="majorBidi"/>
          <w:sz w:val="24"/>
          <w:szCs w:val="24"/>
        </w:rPr>
        <w:t>use of the high (diglossic) variety</w:t>
      </w:r>
      <w:r w:rsidR="006347A4">
        <w:rPr>
          <w:rFonts w:asciiTheme="majorBidi" w:hAnsiTheme="majorBidi" w:cstheme="majorBidi"/>
          <w:sz w:val="24"/>
          <w:szCs w:val="24"/>
        </w:rPr>
        <w:t xml:space="preserve">, even by authors who use the low variety for the dramatic text, at a time when choice of one variety vs the other amounts to an ideological stand. In both languages, the conservative effect of stage directions underlies the </w:t>
      </w:r>
      <w:r w:rsidR="003C3250">
        <w:rPr>
          <w:rFonts w:asciiTheme="majorBidi" w:hAnsiTheme="majorBidi" w:cstheme="majorBidi"/>
          <w:sz w:val="24"/>
          <w:szCs w:val="24"/>
        </w:rPr>
        <w:t>diachronic stability of constructions</w:t>
      </w:r>
      <w:r w:rsidR="006347A4">
        <w:rPr>
          <w:rFonts w:asciiTheme="majorBidi" w:hAnsiTheme="majorBidi" w:cstheme="majorBidi"/>
          <w:sz w:val="24"/>
          <w:szCs w:val="24"/>
        </w:rPr>
        <w:t xml:space="preserve"> that easily qualify as “genre markers” (</w:t>
      </w:r>
      <w:r w:rsidR="006347A4" w:rsidRPr="00EF034F">
        <w:rPr>
          <w:rFonts w:asciiTheme="majorBidi" w:hAnsiTheme="majorBidi" w:cstheme="majorBidi"/>
          <w:sz w:val="24"/>
          <w:szCs w:val="24"/>
        </w:rPr>
        <w:t>Biber</w:t>
      </w:r>
      <w:r w:rsidR="006347A4">
        <w:rPr>
          <w:rFonts w:asciiTheme="majorBidi" w:hAnsiTheme="majorBidi" w:cstheme="majorBidi"/>
          <w:sz w:val="24"/>
          <w:szCs w:val="24"/>
        </w:rPr>
        <w:t xml:space="preserve"> and </w:t>
      </w:r>
      <w:r w:rsidR="006347A4" w:rsidRPr="00EF034F">
        <w:rPr>
          <w:rFonts w:asciiTheme="majorBidi" w:hAnsiTheme="majorBidi" w:cstheme="majorBidi"/>
          <w:sz w:val="24"/>
          <w:szCs w:val="24"/>
        </w:rPr>
        <w:t>Conrad 2009</w:t>
      </w:r>
      <w:r w:rsidR="006347A4">
        <w:rPr>
          <w:rFonts w:asciiTheme="majorBidi" w:hAnsiTheme="majorBidi" w:cstheme="majorBidi"/>
          <w:sz w:val="24"/>
          <w:szCs w:val="24"/>
        </w:rPr>
        <w:t>) in evoking the specific genre.</w:t>
      </w:r>
    </w:p>
    <w:p w14:paraId="6A552D64" w14:textId="6F2888E2" w:rsidR="0039511D" w:rsidRDefault="0039511D" w:rsidP="0039511D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By examining fully </w:t>
      </w:r>
      <w:r w:rsidRPr="0039511D">
        <w:rPr>
          <w:rFonts w:asciiTheme="majorBidi" w:hAnsiTheme="majorBidi" w:cstheme="majorBidi"/>
          <w:i/>
          <w:iCs/>
          <w:sz w:val="24"/>
          <w:szCs w:val="24"/>
        </w:rPr>
        <w:t xml:space="preserve">equivalent </w:t>
      </w:r>
      <w:r w:rsidRPr="0039511D">
        <w:rPr>
          <w:rFonts w:asciiTheme="majorBidi" w:hAnsiTheme="majorBidi" w:cstheme="majorBidi"/>
          <w:sz w:val="24"/>
          <w:szCs w:val="24"/>
        </w:rPr>
        <w:t xml:space="preserve">genres </w:t>
      </w:r>
      <w:r>
        <w:rPr>
          <w:rFonts w:asciiTheme="majorBidi" w:hAnsiTheme="majorBidi" w:cstheme="majorBidi"/>
          <w:sz w:val="24"/>
          <w:szCs w:val="24"/>
        </w:rPr>
        <w:t xml:space="preserve">across languages, I </w:t>
      </w:r>
      <w:r w:rsidR="008364AF">
        <w:rPr>
          <w:rFonts w:asciiTheme="majorBidi" w:hAnsiTheme="majorBidi" w:cstheme="majorBidi"/>
          <w:sz w:val="24"/>
          <w:szCs w:val="24"/>
        </w:rPr>
        <w:t xml:space="preserve">thus </w:t>
      </w:r>
      <w:r>
        <w:rPr>
          <w:rFonts w:asciiTheme="majorBidi" w:hAnsiTheme="majorBidi" w:cstheme="majorBidi"/>
          <w:sz w:val="24"/>
          <w:szCs w:val="24"/>
        </w:rPr>
        <w:t>provide evidence for conservatism</w:t>
      </w:r>
      <w:r w:rsidR="003C3250"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 xml:space="preserve">manifested in parallel ways in different historical periods. I further suggest possible explanations for the </w:t>
      </w:r>
      <w:r w:rsidR="003C3250">
        <w:rPr>
          <w:rFonts w:asciiTheme="majorBidi" w:hAnsiTheme="majorBidi" w:cstheme="majorBidi"/>
          <w:sz w:val="24"/>
          <w:szCs w:val="24"/>
        </w:rPr>
        <w:t>uptightness of stage directions</w:t>
      </w:r>
      <w:r w:rsidR="008364AF">
        <w:rPr>
          <w:rFonts w:asciiTheme="majorBidi" w:hAnsiTheme="majorBidi" w:cstheme="majorBidi"/>
          <w:sz w:val="24"/>
          <w:szCs w:val="24"/>
        </w:rPr>
        <w:t>,</w:t>
      </w:r>
      <w:r w:rsidR="003C3250">
        <w:rPr>
          <w:rFonts w:asciiTheme="majorBidi" w:hAnsiTheme="majorBidi" w:cstheme="majorBidi"/>
          <w:sz w:val="24"/>
          <w:szCs w:val="24"/>
        </w:rPr>
        <w:t xml:space="preserve"> </w:t>
      </w:r>
      <w:r w:rsidR="008364AF">
        <w:rPr>
          <w:rFonts w:asciiTheme="majorBidi" w:hAnsiTheme="majorBidi" w:cstheme="majorBidi"/>
          <w:sz w:val="24"/>
          <w:szCs w:val="24"/>
        </w:rPr>
        <w:t xml:space="preserve">including </w:t>
      </w:r>
      <w:r w:rsidR="003C3250">
        <w:rPr>
          <w:rFonts w:asciiTheme="majorBidi" w:hAnsiTheme="majorBidi" w:cstheme="majorBidi"/>
          <w:sz w:val="24"/>
          <w:szCs w:val="24"/>
        </w:rPr>
        <w:t>functional motivation</w:t>
      </w:r>
      <w:r w:rsidR="008364AF">
        <w:rPr>
          <w:rFonts w:asciiTheme="majorBidi" w:hAnsiTheme="majorBidi" w:cstheme="majorBidi"/>
          <w:sz w:val="24"/>
          <w:szCs w:val="24"/>
        </w:rPr>
        <w:t xml:space="preserve"> and strong conventionalization (not seen as mutually exclusive or contradictory).</w:t>
      </w:r>
    </w:p>
    <w:p w14:paraId="65D7C32E" w14:textId="77777777" w:rsidR="006347A4" w:rsidRPr="00EA5BA5" w:rsidRDefault="006347A4" w:rsidP="006347A4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BA691AE" w14:textId="77777777" w:rsidR="00FD0AFD" w:rsidRDefault="00FD0AFD" w:rsidP="00FD0AFD">
      <w:pPr>
        <w:spacing w:after="0" w:line="320" w:lineRule="atLeast"/>
        <w:ind w:left="346" w:hanging="432"/>
        <w:rPr>
          <w:rFonts w:asciiTheme="majorBidi" w:hAnsiTheme="majorBidi" w:cstheme="majorBidi"/>
          <w:iCs/>
          <w:sz w:val="24"/>
          <w:szCs w:val="24"/>
        </w:rPr>
      </w:pPr>
      <w:r w:rsidRPr="00481DF8">
        <w:rPr>
          <w:rFonts w:asciiTheme="majorBidi" w:hAnsiTheme="majorBidi" w:cstheme="majorBidi"/>
          <w:iCs/>
          <w:sz w:val="24"/>
          <w:szCs w:val="24"/>
        </w:rPr>
        <w:t xml:space="preserve">Biber, Douglas &amp; Susan Conrad. 2009. </w:t>
      </w:r>
      <w:r w:rsidRPr="00481DF8">
        <w:rPr>
          <w:rFonts w:asciiTheme="majorBidi" w:hAnsiTheme="majorBidi" w:cstheme="majorBidi"/>
          <w:i/>
          <w:iCs/>
          <w:sz w:val="24"/>
          <w:szCs w:val="24"/>
        </w:rPr>
        <w:t>Register, Genre, and Style</w:t>
      </w:r>
      <w:r w:rsidRPr="00481DF8">
        <w:rPr>
          <w:rFonts w:asciiTheme="majorBidi" w:hAnsiTheme="majorBidi" w:cstheme="majorBidi"/>
          <w:iCs/>
          <w:sz w:val="24"/>
          <w:szCs w:val="24"/>
        </w:rPr>
        <w:t>. Cambridge: Cambridge University Press.</w:t>
      </w:r>
      <w:r w:rsidRPr="00FD36A3">
        <w:rPr>
          <w:rFonts w:asciiTheme="majorBidi" w:hAnsiTheme="majorBidi" w:cstheme="majorBidi"/>
          <w:iCs/>
          <w:sz w:val="24"/>
          <w:szCs w:val="24"/>
        </w:rPr>
        <w:t xml:space="preserve">  </w:t>
      </w:r>
    </w:p>
    <w:p w14:paraId="3E79F4CD" w14:textId="138917BB" w:rsidR="004347FD" w:rsidRDefault="004347FD" w:rsidP="004347FD">
      <w:pPr>
        <w:spacing w:after="0" w:line="320" w:lineRule="atLeast"/>
        <w:ind w:left="346" w:hanging="432"/>
        <w:rPr>
          <w:rFonts w:asciiTheme="majorBidi" w:hAnsiTheme="majorBidi" w:cstheme="majorBidi"/>
          <w:iCs/>
          <w:sz w:val="24"/>
          <w:szCs w:val="24"/>
        </w:rPr>
      </w:pPr>
      <w:r w:rsidRPr="00FD36A3">
        <w:rPr>
          <w:rFonts w:asciiTheme="majorBidi" w:hAnsiTheme="majorBidi" w:cstheme="majorBidi"/>
          <w:iCs/>
          <w:sz w:val="24"/>
          <w:szCs w:val="24"/>
        </w:rPr>
        <w:t xml:space="preserve">Biber, Douglas </w:t>
      </w:r>
      <w:r>
        <w:rPr>
          <w:rFonts w:asciiTheme="majorBidi" w:hAnsiTheme="majorBidi" w:cstheme="majorBidi"/>
          <w:iCs/>
          <w:sz w:val="24"/>
          <w:szCs w:val="24"/>
        </w:rPr>
        <w:t>&amp;</w:t>
      </w:r>
      <w:r w:rsidRPr="00FD36A3">
        <w:rPr>
          <w:rFonts w:asciiTheme="majorBidi" w:hAnsiTheme="majorBidi" w:cstheme="majorBidi"/>
          <w:iCs/>
          <w:sz w:val="24"/>
          <w:szCs w:val="24"/>
        </w:rPr>
        <w:t xml:space="preserve"> Edward Finegan</w:t>
      </w:r>
      <w:r>
        <w:rPr>
          <w:rFonts w:asciiTheme="majorBidi" w:hAnsiTheme="majorBidi" w:cstheme="majorBidi"/>
          <w:iCs/>
          <w:sz w:val="24"/>
          <w:szCs w:val="24"/>
        </w:rPr>
        <w:t xml:space="preserve">. </w:t>
      </w:r>
      <w:r w:rsidRPr="00FD36A3">
        <w:rPr>
          <w:rFonts w:asciiTheme="majorBidi" w:hAnsiTheme="majorBidi" w:cstheme="majorBidi"/>
          <w:iCs/>
          <w:sz w:val="24"/>
          <w:szCs w:val="24"/>
        </w:rPr>
        <w:t>1989</w:t>
      </w:r>
      <w:r>
        <w:rPr>
          <w:rFonts w:asciiTheme="majorBidi" w:hAnsiTheme="majorBidi" w:cstheme="majorBidi"/>
          <w:iCs/>
          <w:sz w:val="24"/>
          <w:szCs w:val="24"/>
        </w:rPr>
        <w:t>.</w:t>
      </w:r>
      <w:r w:rsidRPr="00FD36A3">
        <w:rPr>
          <w:rFonts w:asciiTheme="majorBidi" w:hAnsiTheme="majorBidi" w:cstheme="majorBidi"/>
          <w:iCs/>
          <w:sz w:val="24"/>
          <w:szCs w:val="24"/>
        </w:rPr>
        <w:t xml:space="preserve"> Drift and the evolution of English style: history of three genres</w:t>
      </w:r>
      <w:r>
        <w:rPr>
          <w:rFonts w:asciiTheme="majorBidi" w:hAnsiTheme="majorBidi" w:cstheme="majorBidi"/>
          <w:iCs/>
          <w:sz w:val="24"/>
          <w:szCs w:val="24"/>
        </w:rPr>
        <w:t xml:space="preserve">. </w:t>
      </w:r>
      <w:r w:rsidRPr="00FD36A3">
        <w:rPr>
          <w:rFonts w:asciiTheme="majorBidi" w:hAnsiTheme="majorBidi" w:cstheme="majorBidi"/>
          <w:i/>
          <w:iCs/>
          <w:sz w:val="24"/>
          <w:szCs w:val="24"/>
        </w:rPr>
        <w:t xml:space="preserve">Language </w:t>
      </w:r>
      <w:r w:rsidRPr="00FD36A3">
        <w:rPr>
          <w:rFonts w:asciiTheme="majorBidi" w:hAnsiTheme="majorBidi" w:cstheme="majorBidi"/>
          <w:iCs/>
          <w:sz w:val="24"/>
          <w:szCs w:val="24"/>
        </w:rPr>
        <w:t>65</w:t>
      </w:r>
      <w:r>
        <w:rPr>
          <w:rFonts w:asciiTheme="majorBidi" w:hAnsiTheme="majorBidi" w:cstheme="majorBidi"/>
          <w:iCs/>
          <w:sz w:val="24"/>
          <w:szCs w:val="24"/>
        </w:rPr>
        <w:t>(3).</w:t>
      </w:r>
      <w:r w:rsidRPr="00FD36A3">
        <w:rPr>
          <w:rFonts w:asciiTheme="majorBidi" w:hAnsiTheme="majorBidi" w:cstheme="majorBidi"/>
          <w:iCs/>
          <w:sz w:val="24"/>
          <w:szCs w:val="24"/>
        </w:rPr>
        <w:t xml:space="preserve"> 487–517.</w:t>
      </w:r>
    </w:p>
    <w:p w14:paraId="6DB79E2F" w14:textId="77777777" w:rsidR="00FD0AFD" w:rsidRDefault="00FD0AFD" w:rsidP="00FD0AFD">
      <w:pPr>
        <w:spacing w:after="0" w:line="320" w:lineRule="atLeast"/>
        <w:ind w:left="346" w:hanging="432"/>
        <w:rPr>
          <w:rFonts w:asciiTheme="majorBidi" w:hAnsiTheme="majorBidi" w:cstheme="majorBidi"/>
          <w:iCs/>
          <w:sz w:val="24"/>
          <w:szCs w:val="24"/>
        </w:rPr>
      </w:pPr>
      <w:r w:rsidRPr="00FD36A3">
        <w:rPr>
          <w:rFonts w:asciiTheme="majorBidi" w:hAnsiTheme="majorBidi" w:cstheme="majorBidi"/>
          <w:iCs/>
          <w:sz w:val="24"/>
          <w:szCs w:val="24"/>
        </w:rPr>
        <w:t>Mair, Christian &amp; Marianne Hundt. 1999</w:t>
      </w:r>
      <w:r w:rsidRPr="00FD36A3">
        <w:rPr>
          <w:rFonts w:asciiTheme="majorBidi" w:hAnsiTheme="majorBidi" w:cstheme="majorBidi"/>
          <w:b/>
          <w:bCs/>
          <w:iCs/>
          <w:sz w:val="24"/>
          <w:szCs w:val="24"/>
        </w:rPr>
        <w:t xml:space="preserve">. </w:t>
      </w:r>
      <w:r>
        <w:rPr>
          <w:rFonts w:asciiTheme="majorBidi" w:hAnsiTheme="majorBidi" w:cstheme="majorBidi"/>
          <w:b/>
          <w:bCs/>
          <w:iCs/>
          <w:sz w:val="24"/>
          <w:szCs w:val="24"/>
        </w:rPr>
        <w:t>“</w:t>
      </w:r>
      <w:r w:rsidRPr="00FD36A3">
        <w:rPr>
          <w:rFonts w:asciiTheme="majorBidi" w:hAnsiTheme="majorBidi" w:cstheme="majorBidi"/>
          <w:iCs/>
          <w:sz w:val="24"/>
          <w:szCs w:val="24"/>
        </w:rPr>
        <w:t>Agile</w:t>
      </w:r>
      <w:r>
        <w:rPr>
          <w:rFonts w:asciiTheme="majorBidi" w:hAnsiTheme="majorBidi" w:cstheme="majorBidi"/>
          <w:iCs/>
          <w:sz w:val="24"/>
          <w:szCs w:val="24"/>
        </w:rPr>
        <w:t>”</w:t>
      </w:r>
      <w:r w:rsidRPr="00FD36A3">
        <w:rPr>
          <w:rFonts w:asciiTheme="majorBidi" w:hAnsiTheme="majorBidi" w:cstheme="majorBidi"/>
          <w:iCs/>
          <w:sz w:val="24"/>
          <w:szCs w:val="24"/>
        </w:rPr>
        <w:t xml:space="preserve"> and “uptight</w:t>
      </w:r>
      <w:r>
        <w:rPr>
          <w:rFonts w:asciiTheme="majorBidi" w:hAnsiTheme="majorBidi" w:cstheme="majorBidi"/>
          <w:iCs/>
          <w:sz w:val="24"/>
          <w:szCs w:val="24"/>
        </w:rPr>
        <w:t>”</w:t>
      </w:r>
      <w:r w:rsidRPr="00FD36A3">
        <w:rPr>
          <w:rFonts w:asciiTheme="majorBidi" w:hAnsiTheme="majorBidi" w:cstheme="majorBidi"/>
          <w:iCs/>
          <w:sz w:val="24"/>
          <w:szCs w:val="24"/>
        </w:rPr>
        <w:t xml:space="preserve"> genres: The corpus-based approach to language change in progress.</w:t>
      </w:r>
      <w:r w:rsidRPr="00FD36A3">
        <w:rPr>
          <w:rFonts w:asciiTheme="majorBidi" w:hAnsiTheme="majorBidi" w:cstheme="majorBidi"/>
          <w:i/>
          <w:iCs/>
          <w:kern w:val="0"/>
          <w:sz w:val="24"/>
          <w:szCs w:val="24"/>
        </w:rPr>
        <w:t xml:space="preserve"> </w:t>
      </w:r>
      <w:r w:rsidRPr="00FD36A3">
        <w:rPr>
          <w:rFonts w:asciiTheme="majorBidi" w:hAnsiTheme="majorBidi" w:cstheme="majorBidi"/>
          <w:i/>
          <w:iCs/>
          <w:sz w:val="24"/>
          <w:szCs w:val="24"/>
        </w:rPr>
        <w:t xml:space="preserve">International Journal of Corpus Linguistics </w:t>
      </w:r>
      <w:r w:rsidRPr="00FD36A3">
        <w:rPr>
          <w:rFonts w:asciiTheme="majorBidi" w:hAnsiTheme="majorBidi" w:cstheme="majorBidi"/>
          <w:iCs/>
          <w:sz w:val="24"/>
          <w:szCs w:val="24"/>
        </w:rPr>
        <w:t>4. 221-242.</w:t>
      </w:r>
    </w:p>
    <w:p w14:paraId="186627FA" w14:textId="566C7B11" w:rsidR="00FD0AFD" w:rsidRPr="00FD36A3" w:rsidRDefault="00FD0AFD" w:rsidP="00FD0AFD">
      <w:pPr>
        <w:spacing w:after="0" w:line="320" w:lineRule="atLeast"/>
        <w:ind w:left="346" w:hanging="432"/>
        <w:rPr>
          <w:rFonts w:asciiTheme="majorBidi" w:hAnsiTheme="majorBidi" w:cstheme="majorBidi"/>
          <w:sz w:val="24"/>
          <w:szCs w:val="24"/>
        </w:rPr>
      </w:pPr>
      <w:r w:rsidRPr="00FD36A3">
        <w:rPr>
          <w:rFonts w:asciiTheme="majorBidi" w:hAnsiTheme="majorBidi" w:cstheme="majorBidi"/>
          <w:sz w:val="24"/>
          <w:szCs w:val="24"/>
        </w:rPr>
        <w:t xml:space="preserve">Nikiforidou, Kiki. 2021. Grammatical variability and the grammar of genre: Constructions, conventionality, and motivation in ‘stage directions’. </w:t>
      </w:r>
      <w:r w:rsidRPr="00FD36A3">
        <w:rPr>
          <w:rFonts w:asciiTheme="majorBidi" w:hAnsiTheme="majorBidi" w:cstheme="majorBidi"/>
          <w:i/>
          <w:iCs/>
          <w:sz w:val="24"/>
          <w:szCs w:val="24"/>
        </w:rPr>
        <w:t>Journal of Pragmatics</w:t>
      </w:r>
      <w:r w:rsidRPr="00FD36A3">
        <w:rPr>
          <w:rFonts w:asciiTheme="majorBidi" w:hAnsiTheme="majorBidi" w:cstheme="majorBidi"/>
          <w:sz w:val="24"/>
          <w:szCs w:val="24"/>
        </w:rPr>
        <w:t xml:space="preserve"> 173</w:t>
      </w:r>
      <w:r w:rsidR="00AD3841">
        <w:rPr>
          <w:rFonts w:asciiTheme="majorBidi" w:hAnsiTheme="majorBidi" w:cstheme="majorBidi"/>
          <w:sz w:val="24"/>
          <w:szCs w:val="24"/>
        </w:rPr>
        <w:t>.</w:t>
      </w:r>
      <w:r w:rsidRPr="00FD36A3">
        <w:rPr>
          <w:rFonts w:asciiTheme="majorBidi" w:hAnsiTheme="majorBidi" w:cstheme="majorBidi"/>
          <w:sz w:val="24"/>
          <w:szCs w:val="24"/>
        </w:rPr>
        <w:t xml:space="preserve"> 189-199, </w:t>
      </w:r>
      <w:hyperlink r:id="rId6" w:history="1">
        <w:r w:rsidRPr="00FD36A3">
          <w:rPr>
            <w:rStyle w:val="Hyperlink"/>
            <w:rFonts w:asciiTheme="majorBidi" w:hAnsiTheme="majorBidi" w:cstheme="majorBidi"/>
            <w:sz w:val="24"/>
            <w:szCs w:val="24"/>
          </w:rPr>
          <w:t>https://doi.org/10.1016/j.pragma.2020.12.012</w:t>
        </w:r>
      </w:hyperlink>
    </w:p>
    <w:p w14:paraId="0D9D5BFD" w14:textId="77777777" w:rsidR="00EA5BA5" w:rsidRPr="00EA5BA5" w:rsidRDefault="00EA5BA5" w:rsidP="005939F4">
      <w:pPr>
        <w:jc w:val="both"/>
        <w:rPr>
          <w:sz w:val="24"/>
          <w:szCs w:val="24"/>
        </w:rPr>
      </w:pPr>
    </w:p>
    <w:sectPr w:rsidR="00EA5BA5" w:rsidRPr="00EA5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93E33"/>
    <w:multiLevelType w:val="hybridMultilevel"/>
    <w:tmpl w:val="1FF8D7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C42FF6"/>
    <w:multiLevelType w:val="hybridMultilevel"/>
    <w:tmpl w:val="AC8620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975590">
    <w:abstractNumId w:val="0"/>
  </w:num>
  <w:num w:numId="2" w16cid:durableId="789053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2F"/>
    <w:rsid w:val="000412A9"/>
    <w:rsid w:val="001C21FE"/>
    <w:rsid w:val="0028142F"/>
    <w:rsid w:val="002B1B1B"/>
    <w:rsid w:val="003359BF"/>
    <w:rsid w:val="0039511D"/>
    <w:rsid w:val="003A4814"/>
    <w:rsid w:val="003C3250"/>
    <w:rsid w:val="004347FD"/>
    <w:rsid w:val="00451459"/>
    <w:rsid w:val="00461F31"/>
    <w:rsid w:val="00532CDD"/>
    <w:rsid w:val="00535643"/>
    <w:rsid w:val="00584517"/>
    <w:rsid w:val="00586102"/>
    <w:rsid w:val="005939F4"/>
    <w:rsid w:val="005A5BD9"/>
    <w:rsid w:val="006347A4"/>
    <w:rsid w:val="007566F1"/>
    <w:rsid w:val="00760241"/>
    <w:rsid w:val="00774ED2"/>
    <w:rsid w:val="008364AF"/>
    <w:rsid w:val="008F5848"/>
    <w:rsid w:val="00927F2E"/>
    <w:rsid w:val="0094204B"/>
    <w:rsid w:val="009F2310"/>
    <w:rsid w:val="009F43BC"/>
    <w:rsid w:val="00AD3841"/>
    <w:rsid w:val="00C276F9"/>
    <w:rsid w:val="00D838D2"/>
    <w:rsid w:val="00E23228"/>
    <w:rsid w:val="00E2503F"/>
    <w:rsid w:val="00EA5BA5"/>
    <w:rsid w:val="00F53635"/>
    <w:rsid w:val="00FD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D5BF"/>
  <w15:chartTrackingRefBased/>
  <w15:docId w15:val="{172BAD65-7550-47C1-A293-A7D17AB2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pragma.2020.12.01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7F1AD-A389-43AA-A16C-D1377A33F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 Nikiforidou</dc:creator>
  <cp:keywords/>
  <dc:description/>
  <cp:lastModifiedBy>Kiki Nikiforidou</cp:lastModifiedBy>
  <cp:revision>12</cp:revision>
  <dcterms:created xsi:type="dcterms:W3CDTF">2025-11-02T11:56:00Z</dcterms:created>
  <dcterms:modified xsi:type="dcterms:W3CDTF">2025-11-04T11:12:00Z</dcterms:modified>
</cp:coreProperties>
</file>