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spacing w:after="300"/>
        <w:jc w:val="center"/>
      </w:pPr>
      <w:r>
        <w:rPr>
          <w:b/>
          <w:bCs/>
          <w:color w:val="1F2937"/>
          <w:sz w:val="44"/>
          <w:szCs w:val="44"/>
        </w:rPr>
        <w:t xml:space="preserve">Smart Quotation Generation &amp; Document Management System</w:t>
      </w:r>
    </w:p>
    <w:p>
      <w:pPr>
        <w:spacing w:after="100"/>
        <w:jc w:val="center"/>
      </w:pPr>
      <w:r>
        <w:rPr>
          <w:color w:val="2E5AAC"/>
          <w:sz w:val="28"/>
          <w:szCs w:val="28"/>
        </w:rPr>
        <w:t xml:space="preserve">Complete Project Reference Document</w:t>
      </w:r>
    </w:p>
    <w:p>
      <w:pPr>
        <w:spacing w:after="600"/>
        <w:jc w:val="center"/>
      </w:pPr>
      <w:r>
        <w:rPr>
          <w:i/>
          <w:iCs/>
          <w:color w:val="555555"/>
          <w:sz w:val="22"/>
          <w:szCs w:val="22"/>
        </w:rPr>
        <w:t xml:space="preserve">Consolidated notes: workflows, improvements, tech stack, offline-first architecture, roadmap, and feature list.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400"/>
      </w:pPr>
      <w:r>
        <w:t xml:space="preserve">1. Project Overview</w:t>
      </w:r>
    </w:p>
    <w:p>
      <w:pPr>
        <w:spacing w:after="120"/>
      </w:pPr>
      <w:r>
        <w:t xml:space="preserve">A system that eliminates manual calculation errors, speeds up quotation creation, and maintains a permanent, tamper-evident archive of every quotation and revision ever generated.</w:t>
      </w:r>
    </w:p>
    <w:p>
      <w:pPr>
        <w:spacing w:after="120"/>
      </w:pPr>
      <w:r>
        <w:t xml:space="preserve">The system does two jobs: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Automated calculator: </w:t>
      </w:r>
      <w:r>
        <w:t xml:space="preserve">fetches tax codes (HSN/SAC) and computes taxable/total amounts automatically.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Immutable archive: </w:t>
      </w:r>
      <w:r>
        <w:t xml:space="preserve">tracks every revision of every deal from first draft to final agreement, with nothing ever overwritten or deleted.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Works on desktop and mobile: </w:t>
      </w:r>
      <w:r>
        <w:t xml:space="preserve">including full quote creation in the field with poor or no internet connectivity.</w:t>
      </w:r>
    </w:p>
    <w:p>
      <w:pPr>
        <w:pStyle w:val="Heading1"/>
        <w:spacing w:after="200" w:before="400"/>
      </w:pPr>
      <w:r>
        <w:t xml:space="preserve">2. Core Workflows</w:t>
      </w:r>
    </w:p>
    <w:p>
      <w:pPr>
        <w:pStyle w:val="Heading2"/>
        <w:spacing w:after="150" w:before="300"/>
      </w:pPr>
      <w:r>
        <w:t xml:space="preserve">Workflow 1 — Manual Quotation Creation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Header auto-generated: unique Quotation Number, today's Date (editable/unlockable for backdating), Revision defaults to 0 / Initial.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User enters Client Name, Address, Contact, Validity Date, Subject.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Item entry: user types Item Name + Description.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Auto-fetch: fuzzy search against HSN database fills HSN/SAC Code automatically.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User enters Quantity and Rate; system calculates Taxable Amount and running Total Amount.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Scope of Work / Technical Specifications / Terms &amp; Conditions are added (see Section 4).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Click Generate: PDF compiled and saved as [QuotationNumber]_rev[Label].pdf.</w:t>
      </w:r>
    </w:p>
    <w:p>
      <w:pPr>
        <w:pStyle w:val="Heading2"/>
        <w:spacing w:after="150" w:before="300"/>
      </w:pPr>
      <w:r>
        <w:t xml:space="preserve">Workflow 2 — Direct Excel Bulk Upload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User uploads a pre-filled Excel template with client header info and raw line items.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System validates rows and shows a preview/confirmation screen before proceeding (never silent).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Background job reads rows, runs HSN fetch for every item, calculates all totals.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PDF generated automatically using the same rendering engine as Workflow 1.</w:t>
      </w:r>
    </w:p>
    <w:p>
      <w:pPr>
        <w:pStyle w:val="Heading2"/>
        <w:spacing w:after="150" w:before="300"/>
      </w:pPr>
      <w:r>
        <w:t xml:space="preserve">Workflow 3 — Revision &amp; Archiving Flow (Core Feature)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User opens an existing quotation and bumps the Revision Number (e.g., 0 → 1, or a custom label like 1B).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User edits rates/quantities/scope/terms; totals recalculate automatically.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On Generate: system creates a brand-new database row linked to the new revision — the old record is never overwritten.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New PDF saved with the standardized naming pattern; old PDF remains untouched and accessible.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Dashboard shows the current active revision; a History tab lists and allows download of every past revision.</w:t>
      </w:r>
    </w:p>
    <w:p>
      <w:pPr>
        <w:pStyle w:val="Heading1"/>
        <w:spacing w:after="200" w:before="400"/>
      </w:pPr>
      <w:r>
        <w:t xml:space="preserve">3. Key Improvements &amp; Design Decisions</w:t>
      </w:r>
    </w:p>
    <w:p>
      <w:pPr>
        <w:pStyle w:val="Heading2"/>
        <w:spacing w:after="150" w:before="300"/>
      </w:pPr>
      <w:r>
        <w:t xml:space="preserve">Data Integrity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Quotation Number generated via an atomic DB sequence/counter — never “read max, add 1” in application code (prevents duplicate numbers under concurrent use).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Revision stored as two fields: revision_index (integer, used for internal logic/ordering) and revision_label (free text shown to user, e.g. “1B”).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One consistent file-naming pattern for all PDFs: [QuotationNumber]_rev[Label].pdf — replaces the inconsistent quotation_/renew_ naming.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Every revision is a full immutable snapshot (line items, content blocks, totals) — never a diff applied to a live record.</w:t>
      </w:r>
    </w:p>
    <w:p>
      <w:pPr>
        <w:pStyle w:val="Heading2"/>
        <w:spacing w:after="150" w:before="300"/>
      </w:pPr>
      <w:r>
        <w:t xml:space="preserve">Tax &amp; Compliance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CGST/SGST vs IGST auto-determined by comparing company state vs client state.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Rounding applied at the total level per GST convention, not line-by-line.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HSN fuzzy-match includes a confidence threshold; below it, the field is left blank for manual entry instead of guessing.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Discount handled as an explicit field, at line-level and/or header-level.</w:t>
      </w:r>
    </w:p>
    <w:p>
      <w:pPr>
        <w:pStyle w:val="Heading2"/>
        <w:spacing w:after="150" w:before="300"/>
      </w:pPr>
      <w:r>
        <w:t xml:space="preserve">Validation &amp; Safety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Excel bulk upload always shows a validation/preview screen (rows OK vs flagged) before PDF generation.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Role-based access control for create/edit/approve/view actions.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Full audit log: user, timestamp, and action recorded on every create/edit/revision.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Optional PDF checksum/hash stored per file to prove archive integrity later (useful in disputes).</w:t>
      </w:r>
    </w:p>
    <w:p>
      <w:pPr>
        <w:pStyle w:val="Heading2"/>
        <w:spacing w:after="150" w:before="300"/>
      </w:pPr>
      <w:r>
        <w:t xml:space="preserve">Document Completeness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Company letterhead, bank details, signatory/stamp block, and payment terms included in the PDF template.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Validity Date drives an auto status flag: Draft / Sent / Expired / Accepted / Converted.</w:t>
      </w:r>
    </w:p>
    <w:p>
      <w:pPr>
        <w:pStyle w:val="Heading2"/>
        <w:spacing w:after="150" w:before="300"/>
      </w:pPr>
      <w:r>
        <w:t xml:space="preserve">User Experience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Diff view between revisions showing exactly what changed (rate, qty, discount, scope, terms).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Dashboard filters: client, date range, status, sales rep, category.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One shared PDF-rendering engine used by both manual and Excel workflows — avoids formatting/logic drift between two renderers.</w:t>
      </w:r>
    </w:p>
    <w:p>
      <w:pPr>
        <w:pStyle w:val="Heading1"/>
        <w:spacing w:after="200" w:before="400"/>
      </w:pPr>
      <w:r>
        <w:t xml:space="preserve">4. Scope of Work / Technical Specifications / Terms &amp; Conditions</w:t>
      </w:r>
    </w:p>
    <w:p>
      <w:pPr>
        <w:spacing w:after="120"/>
      </w:pPr>
      <w:r>
        <w:t xml:space="preserve">A dedicated content_blocks data model, separate from line items, since this content is descriptive rather than calculative.</w:t>
      </w:r>
    </w:p>
    <w:p>
      <w:pPr>
        <w:pStyle w:val="Heading2"/>
        <w:spacing w:after="150" w:before="300"/>
      </w:pPr>
      <w:r>
        <w:t xml:space="preserve">Fields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2E5AAC" w:color="auto" w:val="clear"/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4500"/>
            <w:shd w:fill="2E5AAC" w:color="auto" w:val="clear"/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</w:tr>
      <w:tr>
        <w:tc>
          <w:tcPr>
            <w:tcW w:type="dxa" w:w="4500"/>
            <w:shd w:fill="F2F2F2" w:color="auto" w:val="clear"/>
          </w:tcPr>
          <w:p>
            <w:r>
              <w:t xml:space="preserve">block_id</w:t>
            </w:r>
          </w:p>
        </w:tc>
        <w:tc>
          <w:tcPr>
            <w:tcW w:type="dxa" w:w="4500"/>
            <w:shd w:fill="F2F2F2" w:color="auto" w:val="clear"/>
          </w:tcPr>
          <w:p>
            <w:r>
              <w:t xml:space="preserve">Primary key</w:t>
            </w:r>
          </w:p>
        </w:tc>
      </w:tr>
      <w:tr>
        <w:tc>
          <w:tcPr>
            <w:tcW w:type="dxa" w:w="4500"/>
          </w:tcPr>
          <w:p>
            <w:r>
              <w:t xml:space="preserve">block_type</w:t>
            </w:r>
          </w:p>
        </w:tc>
        <w:tc>
          <w:tcPr>
            <w:tcW w:type="dxa" w:w="4500"/>
          </w:tcPr>
          <w:p>
            <w:r>
              <w:t xml:space="preserve">scope_of_work / technical_spec / terms_conditions</w:t>
            </w:r>
          </w:p>
        </w:tc>
      </w:tr>
      <w:tr>
        <w:tc>
          <w:tcPr>
            <w:tcW w:type="dxa" w:w="4500"/>
            <w:shd w:fill="F2F2F2" w:color="auto" w:val="clear"/>
          </w:tcPr>
          <w:p>
            <w:r>
              <w:t xml:space="preserve">source</w:t>
            </w:r>
          </w:p>
        </w:tc>
        <w:tc>
          <w:tcPr>
            <w:tcW w:type="dxa" w:w="4500"/>
            <w:shd w:fill="F2F2F2" w:color="auto" w:val="clear"/>
          </w:tcPr>
          <w:p>
            <w:r>
              <w:t xml:space="preserve">library (backend master) / excel (from upload) / manual (typed fresh)</w:t>
            </w:r>
          </w:p>
        </w:tc>
      </w:tr>
      <w:tr>
        <w:tc>
          <w:tcPr>
            <w:tcW w:type="dxa" w:w="4500"/>
          </w:tcPr>
          <w:p>
            <w:r>
              <w:t xml:space="preserve">title</w:t>
            </w:r>
          </w:p>
        </w:tc>
        <w:tc>
          <w:tcPr>
            <w:tcW w:type="dxa" w:w="4500"/>
          </w:tcPr>
          <w:p>
            <w:r>
              <w:t xml:space="preserve">e.g. “Installation Scope”, “Warranty Terms”</w:t>
            </w:r>
          </w:p>
        </w:tc>
      </w:tr>
      <w:tr>
        <w:tc>
          <w:tcPr>
            <w:tcW w:type="dxa" w:w="4500"/>
            <w:shd w:fill="F2F2F2" w:color="auto" w:val="clear"/>
          </w:tcPr>
          <w:p>
            <w:r>
              <w:t xml:space="preserve">content</w:t>
            </w:r>
          </w:p>
        </w:tc>
        <w:tc>
          <w:tcPr>
            <w:tcW w:type="dxa" w:w="4500"/>
            <w:shd w:fill="F2F2F2" w:color="auto" w:val="clear"/>
          </w:tcPr>
          <w:p>
            <w:r>
              <w:t xml:space="preserve">Rich text / formatted body</w:t>
            </w:r>
          </w:p>
        </w:tc>
      </w:tr>
      <w:tr>
        <w:tc>
          <w:tcPr>
            <w:tcW w:type="dxa" w:w="4500"/>
          </w:tcPr>
          <w:p>
            <w:r>
              <w:t xml:space="preserve">category_tag</w:t>
            </w:r>
          </w:p>
        </w:tc>
        <w:tc>
          <w:tcPr>
            <w:tcW w:type="dxa" w:w="4500"/>
          </w:tcPr>
          <w:p>
            <w:r>
              <w:t xml:space="preserve">Links to a product/service category for auto-suggestion</w:t>
            </w:r>
          </w:p>
        </w:tc>
      </w:tr>
      <w:tr>
        <w:tc>
          <w:tcPr>
            <w:tcW w:type="dxa" w:w="4500"/>
            <w:shd w:fill="F2F2F2" w:color="auto" w:val="clear"/>
          </w:tcPr>
          <w:p>
            <w:r>
              <w:t xml:space="preserve">is_default</w:t>
            </w:r>
          </w:p>
        </w:tc>
        <w:tc>
          <w:tcPr>
            <w:tcW w:type="dxa" w:w="4500"/>
            <w:shd w:fill="F2F2F2" w:color="auto" w:val="clear"/>
          </w:tcPr>
          <w:p>
            <w:r>
              <w:t xml:space="preserve">Whether it auto-loads for new quotes</w:t>
            </w:r>
          </w:p>
        </w:tc>
      </w:tr>
      <w:tr>
        <w:tc>
          <w:tcPr>
            <w:tcW w:type="dxa" w:w="4500"/>
          </w:tcPr>
          <w:p>
            <w:r>
              <w:t xml:space="preserve">sort_order</w:t>
            </w:r>
          </w:p>
        </w:tc>
        <w:tc>
          <w:tcPr>
            <w:tcW w:type="dxa" w:w="4500"/>
          </w:tcPr>
          <w:p>
            <w:r>
              <w:t xml:space="preserve">Controls position in the PDF</w:t>
            </w:r>
          </w:p>
        </w:tc>
      </w:tr>
    </w:tbl>
    <w:p>
      <w:pPr>
        <w:pStyle w:val="Heading2"/>
        <w:spacing w:after="150" w:before="300"/>
      </w:pPr>
      <w:r>
        <w:t xml:space="preserve">Three Intake Paths (all feed one editable canvas)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Auto-load from library: </w:t>
      </w:r>
      <w:r>
        <w:t xml:space="preserve">backend master library of reusable, category-tagged clauses (payment terms, validity, warranty, force majeure, delivery timelines). Matched to the quote via item category using the same fuzzy-match approach as HSN lookup.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From attached Excel: </w:t>
      </w:r>
      <w:r>
        <w:t xml:space="preserve">if the bulk upload template includes extra sheets/columns for Scope, Specs, or T&amp;C, the parser pulls those in as pre-filled blocks (source: excel).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Manual add: </w:t>
      </w:r>
      <w:r>
        <w:t xml:space="preserve">a “+ Add Clause” option for one-off, client-specific text.</w:t>
      </w:r>
    </w:p>
    <w:p>
      <w:pPr>
        <w:spacing w:after="120"/>
      </w:pPr>
      <w:r>
        <w:t xml:space="preserve">All three land in the same editable rich-text area regardless of origin. The source field is tracked for reporting (e.g., which clauses get manually edited most often — a signal to improve the master library).</w:t>
      </w:r>
    </w:p>
    <w:p>
      <w:pPr>
        <w:pStyle w:val="Heading2"/>
        <w:spacing w:after="150" w:before="300"/>
      </w:pPr>
      <w:r>
        <w:t xml:space="preserve">Versioning Rule</w:t>
      </w:r>
    </w:p>
    <w:p>
      <w:pPr>
        <w:spacing w:after="120"/>
      </w:pPr>
      <w:r>
        <w:t xml:space="preserve">Content blocks must be versioned along with every revision. If Scope of Work changes in Revision 1, the original Revision 0 PDF must still show the original scope — this is essential for the “immutable archive” promise, especially in disputes over what was originally agreed.</w:t>
      </w:r>
    </w:p>
    <w:p>
      <w:pPr>
        <w:pStyle w:val="Heading2"/>
        <w:spacing w:after="150" w:before="300"/>
      </w:pPr>
      <w:r>
        <w:t xml:space="preserve">Governance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Master library should be admin-managed to avoid drift/inconsistency in legal language across quotes.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Sales reps can override at the individual-quote level, but should not edit the shared master library directly.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Default fallback: if no category match and no Excel data, a generic “Standard Terms &amp; Conditions” block is attached automatically rather than leaving the section blank.</w:t>
      </w:r>
    </w:p>
    <w:p>
      <w:pPr>
        <w:pStyle w:val="Heading1"/>
        <w:spacing w:after="200" w:before="400"/>
      </w:pPr>
      <w:r>
        <w:t xml:space="preserve">5. Recommended Tech Stack</w:t>
      </w:r>
    </w:p>
    <w:p>
      <w:pPr>
        <w:pStyle w:val="Heading2"/>
        <w:spacing w:after="150" w:before="300"/>
      </w:pPr>
      <w:r>
        <w:t xml:space="preserve">Frontend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React or Next.js (Next.js preferred for SSR + routing/auth convenience)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Tailwind CSS, built mobile-first from day one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TipTap or Quill for rich-text editing (Scope/Specs/T&amp;C), with a separate mobile-optimized toolbar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React Hook Form + Zod for form validation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TanStack Table for items grid and dashboard listing (desktop); card-based layout for mobile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shadcn/ui or similar touch-friendly component library</w:t>
      </w:r>
    </w:p>
    <w:p>
      <w:pPr>
        <w:pStyle w:val="Heading2"/>
        <w:spacing w:after="150" w:before="300"/>
      </w:pPr>
      <w:r>
        <w:t xml:space="preserve">Backend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Node.js with NestJS (preferred over plain Express for this project's distinct domains: quotations, revisions, HSN, users, files)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REST API</w:t>
      </w:r>
    </w:p>
    <w:p>
      <w:pPr>
        <w:pStyle w:val="Heading2"/>
        <w:spacing w:after="150" w:before="300"/>
      </w:pPr>
      <w:r>
        <w:t xml:space="preserve">Database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PostgreSQL — relational integrity is important given FK relationships across quotations → revisions → line_items → content_blocks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Prisma or TypeORM as the ORM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pg_trgm extension + PostgreSQL full-text search for fuzzy HSN/content matching at moderate scale</w:t>
      </w:r>
    </w:p>
    <w:p>
      <w:pPr>
        <w:pStyle w:val="Heading2"/>
        <w:spacing w:after="150" w:before="300"/>
      </w:pPr>
      <w:r>
        <w:t xml:space="preserve">File Generation &amp; Storage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Server-side PDF generation: Puppeteer (HTML to PDF) or pdfmake/react-pdf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File storage: S3 or S3-compatible (e.g., MinIO for self-hosted) — not local disk, to protect the “never lost” guarantee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Excel parsing: xlsx (SheetJS) or exceljs</w:t>
      </w:r>
    </w:p>
    <w:p>
      <w:pPr>
        <w:pStyle w:val="Heading2"/>
        <w:spacing w:after="150" w:before="300"/>
      </w:pPr>
      <w:r>
        <w:t xml:space="preserve">Auth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JWT-based auth with refresh tokens (or session-based via NextAuth if using Next.js)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Role-based middleware: Admin / Sales Rep / Viewer at minimum</w:t>
      </w:r>
    </w:p>
    <w:p>
      <w:pPr>
        <w:pStyle w:val="Heading2"/>
        <w:spacing w:after="150" w:before="300"/>
      </w:pPr>
      <w:r>
        <w:t xml:space="preserve">Infra / DevOps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Docker for containerization (backend, DB, worker for PDF generation)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BullMQ + Redis as a background job queue for Excel processing and PDF generation (avoid doing these synchronously)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GitHub Actions for CI/CD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AWS / GCP / Azure, or Render / Railway for simpler managed hosting</w:t>
      </w:r>
    </w:p>
    <w:p>
      <w:pPr>
        <w:pStyle w:val="Heading2"/>
        <w:spacing w:after="150" w:before="300"/>
      </w:pPr>
      <w:r>
        <w:t xml:space="preserve">Mobile + Offline-First Additions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400"/>
      </w:tblGrid>
      <w:tr>
        <w:tc>
          <w:tcPr>
            <w:tcW w:type="dxa" w:w="2200"/>
            <w:shd w:fill="2E5AAC" w:color="auto" w:val="clear"/>
          </w:tcPr>
          <w:p>
            <w:r>
              <w:rPr>
                <w:b/>
                <w:bCs/>
                <w:color w:val="FFFFFF"/>
              </w:rPr>
              <w:t xml:space="preserve">Layer</w:t>
            </w:r>
          </w:p>
        </w:tc>
        <w:tc>
          <w:tcPr>
            <w:tcW w:type="dxa" w:w="3400"/>
            <w:shd w:fill="2E5AAC" w:color="auto" w:val="clear"/>
          </w:tcPr>
          <w:p>
            <w:r>
              <w:rPr>
                <w:b/>
                <w:bCs/>
                <w:color w:val="FFFFFF"/>
              </w:rPr>
              <w:t xml:space="preserve">Addition</w:t>
            </w:r>
          </w:p>
        </w:tc>
        <w:tc>
          <w:tcPr>
            <w:tcW w:type="dxa" w:w="3400"/>
            <w:shd w:fill="2E5AAC" w:color="auto" w:val="clear"/>
          </w:tcPr>
          <w:p>
            <w:r>
              <w:rPr>
                <w:b/>
                <w:bCs/>
                <w:color w:val="FFFFFF"/>
              </w:rPr>
              <w:t xml:space="preserve">Why</w:t>
            </w:r>
          </w:p>
        </w:tc>
      </w:tr>
      <w:tr>
        <w:tc>
          <w:tcPr>
            <w:tcW w:type="dxa" w:w="2200"/>
            <w:shd w:fill="F2F2F2" w:color="auto" w:val="clear"/>
          </w:tcPr>
          <w:p>
            <w:r>
              <w:t xml:space="preserve">Local DB</w:t>
            </w:r>
          </w:p>
        </w:tc>
        <w:tc>
          <w:tcPr>
            <w:tcW w:type="dxa" w:w="3400"/>
            <w:shd w:fill="F2F2F2" w:color="auto" w:val="clear"/>
          </w:tcPr>
          <w:p>
            <w:r>
              <w:t xml:space="preserve">Dexie.js (IndexedDB wrapper)</w:t>
            </w:r>
          </w:p>
        </w:tc>
        <w:tc>
          <w:tcPr>
            <w:tcW w:type="dxa" w:w="3400"/>
            <w:shd w:fill="F2F2F2" w:color="auto" w:val="clear"/>
          </w:tcPr>
          <w:p>
            <w:r>
              <w:t xml:space="preserve">Structured local storage; works fully offline</w:t>
            </w:r>
          </w:p>
        </w:tc>
      </w:tr>
      <w:tr>
        <w:tc>
          <w:tcPr>
            <w:tcW w:type="dxa" w:w="2200"/>
          </w:tcPr>
          <w:p>
            <w:r>
              <w:t xml:space="preserve">Local search</w:t>
            </w:r>
          </w:p>
        </w:tc>
        <w:tc>
          <w:tcPr>
            <w:tcW w:type="dxa" w:w="3400"/>
          </w:tcPr>
          <w:p>
            <w:r>
              <w:t xml:space="preserve">Fuse.js</w:t>
            </w:r>
          </w:p>
        </w:tc>
        <w:tc>
          <w:tcPr>
            <w:tcW w:type="dxa" w:w="3400"/>
          </w:tcPr>
          <w:p>
            <w:r>
              <w:t xml:space="preserve">Client-side fuzzy HSN/content matching without network</w:t>
            </w:r>
          </w:p>
        </w:tc>
      </w:tr>
      <w:tr>
        <w:tc>
          <w:tcPr>
            <w:tcW w:type="dxa" w:w="2200"/>
            <w:shd w:fill="F2F2F2" w:color="auto" w:val="clear"/>
          </w:tcPr>
          <w:p>
            <w:r>
              <w:t xml:space="preserve">Local PDF</w:t>
            </w:r>
          </w:p>
        </w:tc>
        <w:tc>
          <w:tcPr>
            <w:tcW w:type="dxa" w:w="3400"/>
            <w:shd w:fill="F2F2F2" w:color="auto" w:val="clear"/>
          </w:tcPr>
          <w:p>
            <w:r>
              <w:t xml:space="preserve">pdfmake or @react-pdf/renderer</w:t>
            </w:r>
          </w:p>
        </w:tc>
        <w:tc>
          <w:tcPr>
            <w:tcW w:type="dxa" w:w="3400"/>
            <w:shd w:fill="F2F2F2" w:color="auto" w:val="clear"/>
          </w:tcPr>
          <w:p>
            <w:r>
              <w:t xml:space="preserve">Generate a usable PDF entirely offline</w:t>
            </w:r>
          </w:p>
        </w:tc>
      </w:tr>
      <w:tr>
        <w:tc>
          <w:tcPr>
            <w:tcW w:type="dxa" w:w="2200"/>
          </w:tcPr>
          <w:p>
            <w:r>
              <w:t xml:space="preserve">Sync engine</w:t>
            </w:r>
          </w:p>
        </w:tc>
        <w:tc>
          <w:tcPr>
            <w:tcW w:type="dxa" w:w="3400"/>
          </w:tcPr>
          <w:p>
            <w:r>
              <w:t xml:space="preserve">Custom outbox queue, or RxDB (recommended)</w:t>
            </w:r>
          </w:p>
        </w:tc>
        <w:tc>
          <w:tcPr>
            <w:tcW w:type="dxa" w:w="3400"/>
          </w:tcPr>
          <w:p>
            <w:r>
              <w:t xml:space="preserve">Reliable queued writes with built-in replication/conflict handling</w:t>
            </w:r>
          </w:p>
        </w:tc>
      </w:tr>
      <w:tr>
        <w:tc>
          <w:tcPr>
            <w:tcW w:type="dxa" w:w="2200"/>
            <w:shd w:fill="F2F2F2" w:color="auto" w:val="clear"/>
          </w:tcPr>
          <w:p>
            <w:r>
              <w:t xml:space="preserve">Service Worker</w:t>
            </w:r>
          </w:p>
        </w:tc>
        <w:tc>
          <w:tcPr>
            <w:tcW w:type="dxa" w:w="3400"/>
            <w:shd w:fill="F2F2F2" w:color="auto" w:val="clear"/>
          </w:tcPr>
          <w:p>
            <w:r>
              <w:t xml:space="preserve">Workbox</w:t>
            </w:r>
          </w:p>
        </w:tc>
        <w:tc>
          <w:tcPr>
            <w:tcW w:type="dxa" w:w="3400"/>
            <w:shd w:fill="F2F2F2" w:color="auto" w:val="clear"/>
          </w:tcPr>
          <w:p>
            <w:r>
              <w:t xml:space="preserve">Caches app shell/assets/API responses for offline load</w:t>
            </w:r>
          </w:p>
        </w:tc>
      </w:tr>
      <w:tr>
        <w:tc>
          <w:tcPr>
            <w:tcW w:type="dxa" w:w="2200"/>
          </w:tcPr>
          <w:p>
            <w:r>
              <w:t xml:space="preserve">Background Sync</w:t>
            </w:r>
          </w:p>
        </w:tc>
        <w:tc>
          <w:tcPr>
            <w:tcW w:type="dxa" w:w="3400"/>
          </w:tcPr>
          <w:p>
            <w:r>
              <w:t xml:space="preserve">Background Sync API or manual retry-on-reconnect</w:t>
            </w:r>
          </w:p>
        </w:tc>
        <w:tc>
          <w:tcPr>
            <w:tcW w:type="dxa" w:w="3400"/>
          </w:tcPr>
          <w:p>
            <w:r>
              <w:t xml:space="preserve">Auto-flush the local queue once connectivity returns</w:t>
            </w:r>
          </w:p>
        </w:tc>
      </w:tr>
    </w:tbl>
    <w:p>
      <w:pPr>
        <w:spacing w:after="120"/>
      </w:pPr>
      <w:r>
        <w:t xml:space="preserve">PWA (Progressive Web App) is the recommended delivery approach over a separate native app: one responsive codebase, installable to a home screen, works offline via service worker caching — sufficient for this use case since no native-only device features (camera, GPS, etc.) are required.</w:t>
      </w:r>
    </w:p>
    <w:p>
      <w:pPr>
        <w:pStyle w:val="Heading1"/>
        <w:spacing w:after="200" w:before="400"/>
      </w:pPr>
      <w:r>
        <w:t xml:space="preserve">6. Offline-First Architecture (Mobile Field Use)</w:t>
      </w:r>
    </w:p>
    <w:p>
      <w:pPr>
        <w:spacing w:after="120"/>
      </w:pPr>
      <w:r>
        <w:t xml:space="preserve">Since reps must be able to create full quotations in the field with poor/no internet, the local device is treated as the primary write target, with the server as the sync destination — not the reverse.</w:t>
      </w:r>
    </w:p>
    <w:p>
      <w:pPr>
        <w:pStyle w:val="Heading2"/>
        <w:spacing w:after="150" w:before="300"/>
      </w:pPr>
      <w:r>
        <w:t xml:space="preserve">Local Data Layer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On login (while online), sync down and cache locally: HSN/SAC master data, Scope/Spec/T&amp;C library, recent/frequent client list.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All quote creation — header, items, HSN matching, totals — runs entirely against local cached data, no network call required mid-creation.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HSN fuzzy-match runs client-side (Fuse.js) against the cached dataset; optional re-validation against the live server database once back online.</w:t>
      </w:r>
    </w:p>
    <w:p>
      <w:pPr>
        <w:pStyle w:val="Heading2"/>
        <w:spacing w:after="150" w:before="300"/>
      </w:pPr>
      <w:r>
        <w:t xml:space="preserve">Local PDF Generation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Offline path generates a PDF entirely client-side so the rep can show/share it to the client immediately.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Once connectivity returns, the server regenerates the canonical PDF via the main Puppeteer engine — this becomes the official archived record.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Local PDFs are marked (e.g., “Draft — pending sync” watermark) until confirmed synced.</w:t>
      </w:r>
    </w:p>
    <w:p>
      <w:pPr>
        <w:pStyle w:val="Heading2"/>
        <w:spacing w:after="150" w:before="300"/>
      </w:pPr>
      <w:r>
        <w:t xml:space="preserve">Sync &amp; Conflict Resolution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Outbox queue: </w:t>
      </w:r>
      <w:r>
        <w:t xml:space="preserve">every offline create/edit is written to a local queue with timestamp and device ID; flushed to server in order once online.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Quotation numbering: </w:t>
      </w:r>
      <w:r>
        <w:t xml:space="preserve">offline quotes get a temporary local UUID; the server assigns the real sequential Quotation Number on sync, and the local record updates to match.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Edit conflicts: </w:t>
      </w:r>
      <w:r>
        <w:t xml:space="preserve">low risk for new quotes; for the rare case of concurrent offline revisions, use last-write-wins with a full audit log entry rather than silent overwrite.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Sync status visibility: </w:t>
      </w:r>
      <w:r>
        <w:t xml:space="preserve">every quote shows a clear status — Local Draft → Syncing → Synced/Official — and the dashboard supports filtering by sync status.</w:t>
      </w:r>
    </w:p>
    <w:p>
      <w:pPr>
        <w:pStyle w:val="Heading2"/>
        <w:spacing w:after="150" w:before="300"/>
      </w:pPr>
      <w:r>
        <w:t xml:space="preserve">Key Documentation Points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Offline data retention limit: how much local storage / how many draft quotes a device can hold before cleanup.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Sync conflict policy documented explicitly (last-write-wins + audit log).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“Official record” definition: the server-synced, server-generated PDF is the legal/official one; local PDFs are provisional. Important for any future dispute.</w:t>
      </w:r>
    </w:p>
    <w:p>
      <w:pPr>
        <w:pStyle w:val="Heading1"/>
        <w:spacing w:after="200" w:before="400"/>
      </w:pPr>
      <w:r>
        <w:t xml:space="preserve">7. Mobile + Desktop UI Notes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Item entry table: full spreadsheet-style grid on desktop; card-based stacked layout with swipe/tap interactions on mobile — design both explicitly, don't just shrink the desktop table.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Dashboard: full table + sidebar filters on desktop; card list + bottom-sheet filters on mobile.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Rich-text editor (Scope/Specs/T&amp;C): simplified, bottom-anchored toolbar on mobile.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PDF preview: plan for a download/open-in-new-tab fallback since inline PDF rendering is inconsistent across mobile browsers.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Build mobile-first responsive from Phase 1 onward — retrofitting responsiveness later is expensive and usually incomplete.</w:t>
      </w:r>
    </w:p>
    <w:p>
      <w:pPr>
        <w:pStyle w:val="Heading1"/>
        <w:spacing w:after="200" w:before="400"/>
      </w:pPr>
      <w:r>
        <w:t xml:space="preserve">8. Additional Recommended Features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Approval workflow: </w:t>
      </w:r>
      <w:r>
        <w:t xml:space="preserve">quotes above a set value require manager approval before the PDF is finalized/sent.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Send quote by email directly: </w:t>
      </w:r>
      <w:r>
        <w:t xml:space="preserve">from the system, with sent/opened status tracking.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Client-side approval / e-signature: </w:t>
      </w:r>
      <w:r>
        <w:t xml:space="preserve">client approves or rejects online, with a timestamp.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Quotation → Invoice conversion: </w:t>
      </w:r>
      <w:r>
        <w:t xml:space="preserve">once accepted, auto-generate an invoice from the same line items.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Analytics dashboard: </w:t>
      </w:r>
      <w:r>
        <w:t xml:space="preserve">conversion rate, average deal size, most-revised quotes (pricing friction signal), rep-wise performance.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Duplicate/clone quotation: </w:t>
      </w:r>
      <w:r>
        <w:t xml:space="preserve">clone a past quote as a starting point for repeat clients.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Expiry reminders: </w:t>
      </w:r>
      <w:r>
        <w:t xml:space="preserve">auto-notify the rep when a quote nears its validity date with no client response.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Multi-currency support: </w:t>
      </w:r>
      <w:r>
        <w:t xml:space="preserve">if international clients are in scope — don't hardcode ₹/GST assumptions everywhere.</w:t>
      </w:r>
    </w:p>
    <w:p>
      <w:pPr>
        <w:pStyle w:val="Heading1"/>
        <w:spacing w:after="200" w:before="400"/>
      </w:pPr>
      <w:r>
        <w:t xml:space="preserve">9. Items to Explicitly Document in the Project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Data retention &amp; backup policy — backup frequency, retention period, disaster recovery plan.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Quotation Number format rules (e.g., QT/2026/0001) and whether numbering resets yearly/financial-yearly.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State-to-tax-type mapping logic (exact rule for CGST/SGST vs IGST decision).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Permission matrix: role vs. allowed actions (create/edit/view/approve/delete).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PDF template versioning policy: template changes apply going forward only, old PDFs are never regenerated/altered.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HSN library update process: who maintains it, update frequency, source of truth (government HSN/SAC master data).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Offline data retention limits, sync conflict policy, and “official record” definition (see Section 6).</w:t>
      </w:r>
    </w:p>
    <w:p>
      <w:pPr>
        <w:pStyle w:val="Heading1"/>
        <w:spacing w:after="200" w:before="400"/>
      </w:pPr>
      <w:r>
        <w:t xml:space="preserve">10. Phased Roadmap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6000"/>
        <w:gridCol w:w="1600"/>
      </w:tblGrid>
      <w:tr>
        <w:tc>
          <w:tcPr>
            <w:tcW w:type="dxa" w:w="1800"/>
            <w:shd w:fill="2E5AAC" w:color="auto" w:val="clear"/>
          </w:tcPr>
          <w:p>
            <w:r>
              <w:rPr>
                <w:b/>
                <w:bCs/>
                <w:color w:val="FFFFFF"/>
              </w:rPr>
              <w:t xml:space="preserve">Phase</w:t>
            </w:r>
          </w:p>
        </w:tc>
        <w:tc>
          <w:tcPr>
            <w:tcW w:type="dxa" w:w="6000"/>
            <w:shd w:fill="2E5AAC" w:color="auto" w:val="clear"/>
          </w:tcPr>
          <w:p>
            <w:r>
              <w:rPr>
                <w:b/>
                <w:bCs/>
                <w:color w:val="FFFFFF"/>
              </w:rPr>
              <w:t xml:space="preserve">Focus</w:t>
            </w:r>
          </w:p>
        </w:tc>
        <w:tc>
          <w:tcPr>
            <w:tcW w:type="dxa" w:w="1600"/>
            <w:shd w:fill="2E5AAC" w:color="auto" w:val="clear"/>
          </w:tcPr>
          <w:p>
            <w:r>
              <w:rPr>
                <w:b/>
                <w:bCs/>
                <w:color w:val="FFFFFF"/>
              </w:rPr>
              <w:t xml:space="preserve">Approx. Duration</w:t>
            </w:r>
          </w:p>
        </w:tc>
      </w:tr>
      <w:tr>
        <w:tc>
          <w:tcPr>
            <w:tcW w:type="dxa" w:w="1800"/>
            <w:shd w:fill="F2F2F2" w:color="auto" w:val="clear"/>
          </w:tcPr>
          <w:p>
            <w:r>
              <w:t xml:space="preserve">Phase 1</w:t>
            </w:r>
          </w:p>
        </w:tc>
        <w:tc>
          <w:tcPr>
            <w:tcW w:type="dxa" w:w="6000"/>
            <w:shd w:fill="F2F2F2" w:color="auto" w:val="clear"/>
          </w:tcPr>
          <w:p>
            <w:r>
              <w:t xml:space="preserve">Foundation + Offline Core — DB schema, auth, local IndexedDB schema, basic offline quote creation with local PDF generation</w:t>
            </w:r>
          </w:p>
        </w:tc>
        <w:tc>
          <w:tcPr>
            <w:tcW w:type="dxa" w:w="1600"/>
            <w:shd w:fill="F2F2F2" w:color="auto" w:val="clear"/>
          </w:tcPr>
          <w:p>
            <w:r>
              <w:t xml:space="preserve">4–5 weeks</w:t>
            </w:r>
          </w:p>
        </w:tc>
      </w:tr>
      <w:tr>
        <w:tc>
          <w:tcPr>
            <w:tcW w:type="dxa" w:w="1800"/>
          </w:tcPr>
          <w:p>
            <w:r>
              <w:t xml:space="preserve">Phase 2</w:t>
            </w:r>
          </w:p>
        </w:tc>
        <w:tc>
          <w:tcPr>
            <w:tcW w:type="dxa" w:w="6000"/>
          </w:tcPr>
          <w:p>
            <w:r>
              <w:t xml:space="preserve">Sync Engine — outbox queue, background sync, quotation number reconciliation, sync status UI</w:t>
            </w:r>
          </w:p>
        </w:tc>
        <w:tc>
          <w:tcPr>
            <w:tcW w:type="dxa" w:w="1600"/>
          </w:tcPr>
          <w:p>
            <w:r>
              <w:t xml:space="preserve">3 weeks</w:t>
            </w:r>
          </w:p>
        </w:tc>
      </w:tr>
      <w:tr>
        <w:tc>
          <w:tcPr>
            <w:tcW w:type="dxa" w:w="1800"/>
            <w:shd w:fill="F2F2F2" w:color="auto" w:val="clear"/>
          </w:tcPr>
          <w:p>
            <w:r>
              <w:t xml:space="preserve">Phase 3</w:t>
            </w:r>
          </w:p>
        </w:tc>
        <w:tc>
          <w:tcPr>
            <w:tcW w:type="dxa" w:w="6000"/>
            <w:shd w:fill="F2F2F2" w:color="auto" w:val="clear"/>
          </w:tcPr>
          <w:p>
            <w:r>
              <w:t xml:space="preserve">Tax &amp; Content Intelligence — HSN fuzzy match (server + local), Scope/Spec/T&amp;C library with offline caching, discount handling</w:t>
            </w:r>
          </w:p>
        </w:tc>
        <w:tc>
          <w:tcPr>
            <w:tcW w:type="dxa" w:w="1600"/>
            <w:shd w:fill="F2F2F2" w:color="auto" w:val="clear"/>
          </w:tcPr>
          <w:p>
            <w:r>
              <w:t xml:space="preserve">2–3 weeks</w:t>
            </w:r>
          </w:p>
        </w:tc>
      </w:tr>
      <w:tr>
        <w:tc>
          <w:tcPr>
            <w:tcW w:type="dxa" w:w="1800"/>
          </w:tcPr>
          <w:p>
            <w:r>
              <w:t xml:space="preserve">Phase 4</w:t>
            </w:r>
          </w:p>
        </w:tc>
        <w:tc>
          <w:tcPr>
            <w:tcW w:type="dxa" w:w="6000"/>
          </w:tcPr>
          <w:p>
            <w:r>
              <w:t xml:space="preserve">Bulk Excel Upload + Revisions — parser, validation/preview, background job queue, full revision flow, History tab, diff view</w:t>
            </w:r>
          </w:p>
        </w:tc>
        <w:tc>
          <w:tcPr>
            <w:tcW w:type="dxa" w:w="1600"/>
          </w:tcPr>
          <w:p>
            <w:r>
              <w:t xml:space="preserve">3 weeks</w:t>
            </w:r>
          </w:p>
        </w:tc>
      </w:tr>
      <w:tr>
        <w:tc>
          <w:tcPr>
            <w:tcW w:type="dxa" w:w="1800"/>
            <w:shd w:fill="F2F2F2" w:color="auto" w:val="clear"/>
          </w:tcPr>
          <w:p>
            <w:r>
              <w:t xml:space="preserve">Phase 5</w:t>
            </w:r>
          </w:p>
        </w:tc>
        <w:tc>
          <w:tcPr>
            <w:tcW w:type="dxa" w:w="6000"/>
            <w:shd w:fill="F2F2F2" w:color="auto" w:val="clear"/>
          </w:tcPr>
          <w:p>
            <w:r>
              <w:t xml:space="preserve">Dashboard &amp; Reporting — filters, search, status tracking, audit log viewer, basic analytics</w:t>
            </w:r>
          </w:p>
        </w:tc>
        <w:tc>
          <w:tcPr>
            <w:tcW w:type="dxa" w:w="1600"/>
            <w:shd w:fill="F2F2F2" w:color="auto" w:val="clear"/>
          </w:tcPr>
          <w:p>
            <w:r>
              <w:t xml:space="preserve">2 weeks</w:t>
            </w:r>
          </w:p>
        </w:tc>
      </w:tr>
      <w:tr>
        <w:tc>
          <w:tcPr>
            <w:tcW w:type="dxa" w:w="1800"/>
          </w:tcPr>
          <w:p>
            <w:r>
              <w:t xml:space="preserve">Phase 6</w:t>
            </w:r>
          </w:p>
        </w:tc>
        <w:tc>
          <w:tcPr>
            <w:tcW w:type="dxa" w:w="6000"/>
          </w:tcPr>
          <w:p>
            <w:r>
              <w:t xml:space="preserve">Hardening &amp; Field Testing — real-device testing on patchy networks, sync edge cases, file integrity, PDF template polish, UAT</w:t>
            </w:r>
          </w:p>
        </w:tc>
        <w:tc>
          <w:tcPr>
            <w:tcW w:type="dxa" w:w="1600"/>
          </w:tcPr>
          <w:p>
            <w:r>
              <w:t xml:space="preserve">3 weeks</w:t>
            </w:r>
          </w:p>
        </w:tc>
      </w:tr>
      <w:tr>
        <w:tc>
          <w:tcPr>
            <w:tcW w:type="dxa" w:w="1800"/>
            <w:shd w:fill="F2F2F2" w:color="auto" w:val="clear"/>
          </w:tcPr>
          <w:p>
            <w:r>
              <w:t xml:space="preserve">Phase 7 (Future)</w:t>
            </w:r>
          </w:p>
        </w:tc>
        <w:tc>
          <w:tcPr>
            <w:tcW w:type="dxa" w:w="6000"/>
            <w:shd w:fill="F2F2F2" w:color="auto" w:val="clear"/>
          </w:tcPr>
          <w:p>
            <w:r>
              <w:t xml:space="preserve">Quotation→Invoice conversion, client portal with e-signature, email integration, approval workflow</w:t>
            </w:r>
          </w:p>
        </w:tc>
        <w:tc>
          <w:tcPr>
            <w:tcW w:type="dxa" w:w="1600"/>
            <w:shd w:fill="F2F2F2" w:color="auto" w:val="clear"/>
          </w:tcPr>
          <w:p>
            <w:r>
              <w:t xml:space="preserve">Ongoing</w:t>
            </w:r>
          </w:p>
        </w:tc>
      </w:tr>
    </w:tbl>
    <w:p>
      <w:pPr>
        <w:spacing w:after="120"/>
      </w:pPr>
      <w:r>
        <w:t xml:space="preserve">Total estimated core build (Phases 1–6): roughly 17–19 weeks, reflecting the added scope of offline-first mobile support baked in from Phase 1 rather than retrofitted later.</w:t>
      </w:r>
    </w:p>
    <w:p>
      <w:pPr>
        <w:pStyle w:val="Heading1"/>
        <w:spacing w:after="200" w:before="400"/>
      </w:pPr>
      <w:r>
        <w:t xml:space="preserve">11. Summary</w:t>
      </w:r>
    </w:p>
    <w:p>
      <w:pPr>
        <w:spacing w:after="120"/>
      </w:pPr>
      <w:r>
        <w:t xml:space="preserve">This system combines an automated tax/calculation engine with a permanent, revision-safe archive, delivered as a responsive, offline-capable PWA so sales reps can create full quotations in the field regardless of connectivity. The architecture is built around three principles: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Never overwrite — every revision is a new, immutable, linked record.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Never guess silently — fuzzy-matched data (HSN, content blocks) is confidence-checked and always user-editable.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Never block on connectivity — local-first data and PDF generation, with server sync producing the official record.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2026-08-02T13:46:39.371Z</dcterms:created>
  <dcterms:modified xsi:type="dcterms:W3CDTF">2026-08-02T13:46:39.391Z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