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3C8" w:rsidRDefault="00BD13C8" w:rsidP="00650A69">
      <w:pPr>
        <w:pStyle w:val="a8"/>
      </w:pPr>
      <w:r>
        <w:t>ΕΘΝΙΚΟ ΜΕΤΣΟΒΕΙΟ ΠΟΛΥΤΕΧΝΕΙΟ</w:t>
      </w:r>
    </w:p>
    <w:p w:rsidR="00BD13C8" w:rsidRPr="00F1197D" w:rsidRDefault="00BD13C8" w:rsidP="00BD13C8">
      <w:pPr>
        <w:jc w:val="center"/>
      </w:pPr>
      <w:r>
        <w:t>ΣΧΟΛΗ ΕΦΑΡΜΟΣΜΕΝΩΝ ΜΑΘΗΜΑΤΙΚΩΝ ΚΑΙ ΦΥΣΙΚΩΝ ΕΠΙΣΤΗΜΩΝ</w:t>
      </w:r>
    </w:p>
    <w:p w:rsidR="00BD13C8" w:rsidRPr="00F1197D" w:rsidRDefault="00BD13C8" w:rsidP="00BD13C8">
      <w:pPr>
        <w:jc w:val="center"/>
      </w:pPr>
    </w:p>
    <w:p w:rsidR="00BD13C8" w:rsidRDefault="00BD13C8" w:rsidP="00BD13C8">
      <w:pPr>
        <w:jc w:val="center"/>
        <w:rPr>
          <w:lang w:val="en-US"/>
        </w:rPr>
      </w:pPr>
      <w:r>
        <w:rPr>
          <w:noProof/>
        </w:rPr>
        <w:drawing>
          <wp:inline distT="0" distB="0" distL="0" distR="0">
            <wp:extent cx="2086282" cy="1866900"/>
            <wp:effectExtent l="19050" t="0" r="9218"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087132" cy="1867660"/>
                    </a:xfrm>
                    <a:prstGeom prst="rect">
                      <a:avLst/>
                    </a:prstGeom>
                    <a:noFill/>
                    <a:ln w="9525">
                      <a:noFill/>
                      <a:miter lim="800000"/>
                      <a:headEnd/>
                      <a:tailEnd/>
                    </a:ln>
                  </pic:spPr>
                </pic:pic>
              </a:graphicData>
            </a:graphic>
          </wp:inline>
        </w:drawing>
      </w:r>
    </w:p>
    <w:p w:rsidR="00BD13C8" w:rsidRPr="00BD13C8" w:rsidRDefault="00BD13C8" w:rsidP="00BD13C8">
      <w:pPr>
        <w:jc w:val="center"/>
        <w:rPr>
          <w:lang w:val="en-US"/>
        </w:rPr>
      </w:pPr>
    </w:p>
    <w:p w:rsidR="00BD13C8" w:rsidRPr="00BD13C8" w:rsidRDefault="00BD13C8" w:rsidP="00BD13C8">
      <w:pPr>
        <w:jc w:val="center"/>
      </w:pPr>
      <w:r w:rsidRPr="00BD13C8">
        <w:t>ΕΡΓΑΣΙΑ ΕΞΑΜΗΝΟΥ ΜΕ ΤΙΤΛΟ:</w:t>
      </w:r>
    </w:p>
    <w:p w:rsidR="00BD13C8" w:rsidRDefault="00BD13C8" w:rsidP="00BD13C8">
      <w:pPr>
        <w:pStyle w:val="a3"/>
        <w:jc w:val="center"/>
      </w:pPr>
      <w:r>
        <w:t>ΔΙΑΧΥΣΗ ΣΕ ΗΜΙΑΓΩΓΙΜΑ ΥΛΙΚΑ</w:t>
      </w:r>
    </w:p>
    <w:p w:rsidR="00BD13C8" w:rsidRPr="00AF02B4" w:rsidRDefault="00BD13C8" w:rsidP="00BD13C8">
      <w:pPr>
        <w:jc w:val="center"/>
      </w:pPr>
      <w:r>
        <w:t xml:space="preserve">ΓΙΑ ΤΟ ΜΑΘΗΜΑ ΧΕΙΜΕΡΙΝΟΥ ΕΞΑΜΗΝΟΥ </w:t>
      </w:r>
      <w:r w:rsidRPr="00AF02B4">
        <w:t>ΤΗΣ ΕΠΙΣΤΗΜΗΣ ΤΩΝ ΥΛΙΚΩΝ</w:t>
      </w:r>
    </w:p>
    <w:p w:rsidR="00BD13C8" w:rsidRDefault="00BD13C8" w:rsidP="00BD13C8">
      <w:pPr>
        <w:jc w:val="center"/>
      </w:pPr>
    </w:p>
    <w:p w:rsidR="00BD13C8" w:rsidRDefault="00BD13C8" w:rsidP="00BD13C8">
      <w:pPr>
        <w:jc w:val="center"/>
      </w:pPr>
    </w:p>
    <w:p w:rsidR="00BD13C8" w:rsidRDefault="00BD13C8" w:rsidP="00BD13C8">
      <w:pPr>
        <w:jc w:val="center"/>
      </w:pPr>
    </w:p>
    <w:p w:rsidR="00BD13C8" w:rsidRDefault="00BD13C8" w:rsidP="00BD13C8">
      <w:pPr>
        <w:jc w:val="center"/>
      </w:pPr>
    </w:p>
    <w:p w:rsidR="00BD13C8" w:rsidRDefault="00BD13C8" w:rsidP="00BD13C8">
      <w:pPr>
        <w:jc w:val="center"/>
      </w:pPr>
    </w:p>
    <w:p w:rsidR="00BD13C8" w:rsidRDefault="00BD13C8" w:rsidP="00BD13C8">
      <w:pPr>
        <w:jc w:val="center"/>
      </w:pPr>
    </w:p>
    <w:p w:rsidR="00BD13C8" w:rsidRDefault="00BD13C8" w:rsidP="00BD13C8">
      <w:pPr>
        <w:jc w:val="center"/>
      </w:pPr>
    </w:p>
    <w:p w:rsidR="00BD13C8" w:rsidRDefault="00BD13C8" w:rsidP="00BD13C8">
      <w:pPr>
        <w:jc w:val="center"/>
      </w:pPr>
    </w:p>
    <w:p w:rsidR="00BD13C8" w:rsidRDefault="00BD13C8" w:rsidP="00BD13C8">
      <w:pPr>
        <w:jc w:val="center"/>
      </w:pPr>
    </w:p>
    <w:p w:rsidR="00BD13C8" w:rsidRDefault="00BD13C8" w:rsidP="00BD13C8">
      <w:pPr>
        <w:jc w:val="center"/>
      </w:pPr>
    </w:p>
    <w:p w:rsidR="00BD13C8" w:rsidRPr="00F1197D" w:rsidRDefault="00BD13C8" w:rsidP="00BD13C8">
      <w:pPr>
        <w:jc w:val="center"/>
      </w:pPr>
    </w:p>
    <w:p w:rsidR="00BD13C8" w:rsidRPr="00BD13C8" w:rsidRDefault="00BD13C8" w:rsidP="00AF02B4">
      <w:pPr>
        <w:rPr>
          <w:i/>
        </w:rPr>
      </w:pPr>
      <w:r>
        <w:t>ΥΠΕΥΘΥΝΟΣ:</w:t>
      </w:r>
      <w:r w:rsidR="00AF02B4">
        <w:t xml:space="preserve"> </w:t>
      </w:r>
      <w:r>
        <w:t xml:space="preserve"> </w:t>
      </w:r>
      <w:r w:rsidRPr="00AF02B4">
        <w:rPr>
          <w:u w:val="single"/>
        </w:rPr>
        <w:t xml:space="preserve">Κος </w:t>
      </w:r>
      <w:r w:rsidRPr="00AF02B4">
        <w:rPr>
          <w:i/>
          <w:u w:val="single"/>
        </w:rPr>
        <w:t>ΜΙΡΤΑΤ ΜΠΟΥΡΟΥΣΙΑΝ</w:t>
      </w:r>
    </w:p>
    <w:p w:rsidR="00BD13C8" w:rsidRDefault="00BD13C8" w:rsidP="00AF02B4">
      <w:pPr>
        <w:rPr>
          <w:i/>
        </w:rPr>
      </w:pPr>
      <w:r>
        <w:t>ΣΠΟΥΔΑΣΤΗ</w:t>
      </w:r>
      <w:r w:rsidRPr="00AF02B4">
        <w:t xml:space="preserve">Σ: </w:t>
      </w:r>
      <w:r w:rsidRPr="00AF02B4">
        <w:rPr>
          <w:i/>
          <w:u w:val="single"/>
        </w:rPr>
        <w:t>ΛΑΠΠΑΣ ΑΘΑΝΑΣΙΟΣ</w:t>
      </w:r>
      <w:r>
        <w:tab/>
        <w:t xml:space="preserve"> </w:t>
      </w:r>
      <w:r w:rsidR="00AF02B4">
        <w:tab/>
      </w:r>
      <w:r w:rsidR="00AF02B4">
        <w:tab/>
      </w:r>
      <w:r w:rsidR="00AF02B4">
        <w:tab/>
      </w:r>
      <w:r w:rsidR="00AF02B4">
        <w:tab/>
      </w:r>
      <w:r w:rsidR="00AF02B4">
        <w:tab/>
      </w:r>
      <w:r w:rsidR="00AF02B4">
        <w:tab/>
      </w:r>
      <w:r>
        <w:t xml:space="preserve">ΑΡ.ΜΗΤΡΩΟΥ: </w:t>
      </w:r>
      <w:r w:rsidRPr="00BD13C8">
        <w:rPr>
          <w:i/>
        </w:rPr>
        <w:t>09107019</w:t>
      </w:r>
    </w:p>
    <w:p w:rsidR="0076623A" w:rsidRDefault="0076623A">
      <w:pPr>
        <w:rPr>
          <w:i/>
        </w:rPr>
      </w:pPr>
    </w:p>
    <w:p w:rsidR="0076623A" w:rsidRPr="00F1197D" w:rsidRDefault="0076623A">
      <w:pPr>
        <w:rPr>
          <w:i/>
        </w:rPr>
      </w:pPr>
    </w:p>
    <w:p w:rsidR="00F1197D" w:rsidRDefault="00F1197D" w:rsidP="00B724EF">
      <w:pPr>
        <w:pStyle w:val="1"/>
        <w:jc w:val="both"/>
      </w:pPr>
      <w:r>
        <w:lastRenderedPageBreak/>
        <w:t>Διάχυση σε ημιαγώγιμα υλικά</w:t>
      </w:r>
    </w:p>
    <w:p w:rsidR="00F1197D" w:rsidRDefault="00F1197D" w:rsidP="00B724EF">
      <w:pPr>
        <w:jc w:val="both"/>
      </w:pPr>
    </w:p>
    <w:p w:rsidR="00F1197D" w:rsidRDefault="00F1197D" w:rsidP="005E05CD">
      <w:pPr>
        <w:ind w:firstLine="720"/>
        <w:jc w:val="both"/>
      </w:pPr>
      <w:r>
        <w:t xml:space="preserve">Η κατασκευή ημιαγωγών ολοκληρωμένων κυκλωμάτων είναι μια τεχνολογία που εφαρμόζει διάχυση στερεάς-κατάστασης. Τα </w:t>
      </w:r>
      <w:r w:rsidR="000D4A5F">
        <w:t>τσιπ</w:t>
      </w:r>
      <w:r>
        <w:t xml:space="preserve"> ολοκληρωμένου κυκλώματος έχουν διαστάσεις της τάξης 6 </w:t>
      </w:r>
      <w:r>
        <w:rPr>
          <w:lang w:val="en-US"/>
        </w:rPr>
        <w:t>mm</w:t>
      </w:r>
      <w:r w:rsidRPr="00F1197D">
        <w:t xml:space="preserve"> </w:t>
      </w:r>
      <w:r>
        <w:rPr>
          <w:lang w:val="en-US"/>
        </w:rPr>
        <w:t>x</w:t>
      </w:r>
      <w:r w:rsidRPr="00F1197D">
        <w:t xml:space="preserve"> 6 </w:t>
      </w:r>
      <w:r>
        <w:rPr>
          <w:lang w:val="en-US"/>
        </w:rPr>
        <w:t>mm</w:t>
      </w:r>
      <w:r w:rsidRPr="00F1197D">
        <w:t xml:space="preserve"> </w:t>
      </w:r>
      <w:r>
        <w:rPr>
          <w:lang w:val="en-US"/>
        </w:rPr>
        <w:t>x</w:t>
      </w:r>
      <w:r w:rsidRPr="00F1197D">
        <w:t xml:space="preserve"> 0.4 </w:t>
      </w:r>
      <w:r>
        <w:rPr>
          <w:lang w:val="en-US"/>
        </w:rPr>
        <w:t>mm</w:t>
      </w:r>
      <w:r w:rsidRPr="00F1197D">
        <w:t xml:space="preserve">, </w:t>
      </w:r>
      <w:r>
        <w:t xml:space="preserve">αποτελώντας έτσι ένα λεπτό τετράγωνο στρώμα. Σε μια απ τις όψεις του </w:t>
      </w:r>
      <w:r w:rsidR="000D4A5F">
        <w:t>τσιπ</w:t>
      </w:r>
      <w:r>
        <w:t xml:space="preserve"> μπορεί να βρίσκονται μέχρι και </w:t>
      </w:r>
      <w:r w:rsidR="000D4A5F">
        <w:t>δισεκατομμύριο</w:t>
      </w:r>
      <w:r>
        <w:t xml:space="preserve"> διασυνδεδεμένες ηλεκτρονικές διατάξεις και κυκλώματα.</w:t>
      </w:r>
    </w:p>
    <w:p w:rsidR="00F1197D" w:rsidRDefault="00F1197D" w:rsidP="005E05CD">
      <w:pPr>
        <w:ind w:firstLine="720"/>
        <w:jc w:val="both"/>
      </w:pPr>
      <w:r>
        <w:t xml:space="preserve">Το βασικό υλικό των περισσοτέρων </w:t>
      </w:r>
      <w:r w:rsidR="000D4A5F">
        <w:t>ολοκληρωμένων</w:t>
      </w:r>
      <w:r>
        <w:t xml:space="preserve"> κυκλωμάτων είναι το μονοκρυστα</w:t>
      </w:r>
      <w:r w:rsidR="000D4A5F">
        <w:t>λ</w:t>
      </w:r>
      <w:r>
        <w:t xml:space="preserve">λικό πυρίτιο, ενώ για την επίτευξη καλύτερης ακόμα λειτουργίας αυτών πρέπει να ενσωματωθούν στο </w:t>
      </w:r>
      <w:r w:rsidR="000D4A5F">
        <w:t>τσιπ</w:t>
      </w:r>
      <w:r>
        <w:t xml:space="preserve"> πυριτίου μια ή περισσότερες </w:t>
      </w:r>
      <w:r w:rsidR="000D4A5F">
        <w:t>προσμείξεις</w:t>
      </w:r>
      <w:r>
        <w:t xml:space="preserve"> σε συγκεκριμένες, πολύ μικρών </w:t>
      </w:r>
      <w:r w:rsidR="000D4A5F">
        <w:t>διαστάσεων</w:t>
      </w:r>
      <w:r>
        <w:t xml:space="preserve"> χωρικές περιοχές ακολουθώντας ένα συγκεκριμένο κάθε φορά, ιδιαιτέρως περίπλοκο και λεπτομερές μοτίβο. Η ατομική διάχυση είναι ένας από τους τρόπους που επιτυγχάνεται αυτό!</w:t>
      </w:r>
    </w:p>
    <w:p w:rsidR="00F1197D" w:rsidRDefault="00F1197D" w:rsidP="00B724EF">
      <w:pPr>
        <w:jc w:val="both"/>
      </w:pPr>
      <w:r>
        <w:tab/>
        <w:t>Συνήθως, στην διαδικασία της ατομικής διάχυσης για κατασκευή ολοκληρωμένων ημιαγωγών-</w:t>
      </w:r>
      <w:r w:rsidR="000D4A5F">
        <w:t>τσιπ</w:t>
      </w:r>
      <w:r>
        <w:t xml:space="preserve">, εφαρμόζονται δύο θερμικές κατεργασίες: </w:t>
      </w:r>
    </w:p>
    <w:p w:rsidR="00F1197D" w:rsidRPr="005E05CD" w:rsidRDefault="00F1197D" w:rsidP="00B724EF">
      <w:pPr>
        <w:ind w:left="360"/>
        <w:jc w:val="both"/>
      </w:pPr>
      <w:r>
        <w:t>1</w:t>
      </w:r>
      <w:r w:rsidRPr="00F1197D">
        <w:rPr>
          <w:vertAlign w:val="superscript"/>
        </w:rPr>
        <w:t>η</w:t>
      </w:r>
      <w:r>
        <w:t xml:space="preserve">) Βήμα </w:t>
      </w:r>
      <w:r w:rsidRPr="00F1197D">
        <w:rPr>
          <w:i/>
        </w:rPr>
        <w:t>προ-εναπόθεσης:</w:t>
      </w:r>
      <w:r>
        <w:rPr>
          <w:i/>
        </w:rPr>
        <w:t xml:space="preserve"> </w:t>
      </w:r>
      <w:r>
        <w:t xml:space="preserve">Διαχέουμε μέσα στο πυρίτιο τα άτομα πρόσμειξης, συχνά από μια αέρια φάση </w:t>
      </w:r>
      <w:r w:rsidR="000D4A5F">
        <w:t>διατηρώντας</w:t>
      </w:r>
      <w:r>
        <w:t xml:space="preserve"> σταθερή τη μερική πίεση της. Τοιουτοτρόπως, η επιφανειακή συγκέντρωση της </w:t>
      </w:r>
      <w:r w:rsidR="000D4A5F">
        <w:t>προσμείξεις</w:t>
      </w:r>
      <w:r>
        <w:t xml:space="preserve">  παραμένει σταθερή με τον χρόνο και η συγκέντρωση των προσμείξεων είναι συνάρτηση της θέσης και του χρόνου, σύμφωνα με την εξίσωση:</w:t>
      </w:r>
      <w:r w:rsidRPr="00F1197D">
        <w:tab/>
      </w:r>
      <w:r w:rsidRPr="00F1197D">
        <w:tab/>
      </w:r>
    </w:p>
    <w:p w:rsidR="00F1197D" w:rsidRDefault="000D6BBE" w:rsidP="00B724EF">
      <w:pPr>
        <w:ind w:left="360"/>
        <w:jc w:val="both"/>
        <w:rPr>
          <w:lang w:val="en-US"/>
        </w:rPr>
      </w:pPr>
      <m:oMathPara>
        <m:oMath>
          <m:f>
            <m:fPr>
              <m:ctrlPr>
                <w:rPr>
                  <w:rFonts w:ascii="Cambria Math" w:hAnsi="Cambria Math"/>
                  <w:i/>
                </w:rPr>
              </m:ctrlPr>
            </m:fPr>
            <m:num>
              <m:sSub>
                <m:sSubPr>
                  <m:ctrlPr>
                    <w:rPr>
                      <w:rFonts w:ascii="Cambria Math" w:hAnsi="Cambria Math"/>
                      <w:i/>
                    </w:rPr>
                  </m:ctrlPr>
                </m:sSubPr>
                <m:e>
                  <m:r>
                    <w:rPr>
                      <w:rFonts w:ascii="Cambria Math" w:hAnsi="Cambria Math"/>
                      <w:lang w:val="en-US"/>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=1-</m:t>
          </m:r>
          <m:r>
            <m:rPr>
              <m:sty m:val="p"/>
            </m:rPr>
            <w:rPr>
              <w:rFonts w:ascii="Cambria Math" w:hAnsi="Cambria Math"/>
            </w:rPr>
            <m:t>erf⁡</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rad>
                <m:radPr>
                  <m:degHide m:val="on"/>
                  <m:ctrlPr>
                    <w:rPr>
                      <w:rFonts w:ascii="Cambria Math" w:hAnsi="Cambria Math"/>
                      <w:i/>
                    </w:rPr>
                  </m:ctrlPr>
                </m:radPr>
                <m:deg/>
                <m:e>
                  <m:r>
                    <w:rPr>
                      <w:rFonts w:ascii="Cambria Math" w:hAnsi="Cambria Math"/>
                    </w:rPr>
                    <m:t>Dt</m:t>
                  </m:r>
                </m:e>
              </m:rad>
            </m:den>
          </m:f>
          <m:r>
            <w:rPr>
              <w:rFonts w:ascii="Cambria Math" w:hAnsi="Cambria Math"/>
            </w:rPr>
            <m:t>)</m:t>
          </m:r>
        </m:oMath>
      </m:oMathPara>
    </w:p>
    <w:p w:rsidR="00B724EF" w:rsidRDefault="00F1197D" w:rsidP="00B724EF">
      <w:pPr>
        <w:ind w:left="360"/>
        <w:jc w:val="both"/>
      </w:pPr>
      <w:r>
        <w:t xml:space="preserve">Η κατεργασία προεναπόθεσης εφαρμόζεται συνήθως για θερμοκρασίες στο εύρος από  </w:t>
      </w:r>
      <m:oMath>
        <m:r>
          <w:rPr>
            <w:rFonts w:ascii="Cambria Math" w:hAnsi="Cambria Math"/>
          </w:rPr>
          <m:t>900°</m:t>
        </m:r>
        <m:r>
          <w:rPr>
            <w:rFonts w:ascii="Cambria Math" w:hAnsi="Cambria Math"/>
            <w:lang w:val="en-US"/>
          </w:rPr>
          <m:t>C</m:t>
        </m:r>
        <m:r>
          <w:rPr>
            <w:rFonts w:ascii="Cambria Math" w:hAnsi="Cambria Math"/>
          </w:rPr>
          <m:t>-1000°C</m:t>
        </m:r>
      </m:oMath>
      <w:r w:rsidRPr="00F1197D">
        <w:t xml:space="preserve"> </w:t>
      </w:r>
      <w:r>
        <w:t>και για χρονική διάρκεια που στις τυπικές περιπτώσεις είναι μικρότερη της 1</w:t>
      </w:r>
      <w:r w:rsidRPr="00F1197D">
        <w:t xml:space="preserve"> </w:t>
      </w:r>
      <w:r>
        <w:rPr>
          <w:lang w:val="en-US"/>
        </w:rPr>
        <w:t>h</w:t>
      </w:r>
      <w:r w:rsidRPr="00F1197D">
        <w:t>.</w:t>
      </w:r>
    </w:p>
    <w:p w:rsidR="00B724EF" w:rsidRPr="00B724EF" w:rsidRDefault="00B724EF" w:rsidP="00B724EF">
      <w:pPr>
        <w:ind w:left="360"/>
        <w:jc w:val="both"/>
      </w:pPr>
      <w:r>
        <w:t>2</w:t>
      </w:r>
      <w:r w:rsidRPr="00B724EF">
        <w:rPr>
          <w:vertAlign w:val="superscript"/>
        </w:rPr>
        <w:t>η</w:t>
      </w:r>
      <w:r>
        <w:t xml:space="preserve">) </w:t>
      </w:r>
      <w:r w:rsidRPr="00B724EF">
        <w:rPr>
          <w:i/>
        </w:rPr>
        <w:t xml:space="preserve">Διάχυση </w:t>
      </w:r>
      <w:r w:rsidRPr="00B724EF">
        <w:rPr>
          <w:i/>
          <w:lang w:val="en-US"/>
        </w:rPr>
        <w:t>drive</w:t>
      </w:r>
      <w:r w:rsidRPr="00B724EF">
        <w:rPr>
          <w:i/>
        </w:rPr>
        <w:t>-</w:t>
      </w:r>
      <w:r w:rsidRPr="00B724EF">
        <w:rPr>
          <w:i/>
          <w:lang w:val="en-US"/>
        </w:rPr>
        <w:t>in</w:t>
      </w:r>
      <w:r w:rsidRPr="00B724EF">
        <w:t xml:space="preserve">: </w:t>
      </w:r>
      <w:r w:rsidR="00AF02B4">
        <w:t>Χρησιμοποιείται</w:t>
      </w:r>
      <w:r>
        <w:t xml:space="preserve"> για τη μεταφορά ατόμων πρόσμειξης βαθύτερα στο πυρίτιο. Αυτό έχει ως αποτέλεσμα να παρέχεται μια πιο κατάλληλη κατανομή συγκέντρωσης χωρίς να αυξηθεί η συνολική περιεκτικότητα σε προσμείξεις. Η διάχυση </w:t>
      </w:r>
      <w:r>
        <w:rPr>
          <w:lang w:val="en-US"/>
        </w:rPr>
        <w:t>drive</w:t>
      </w:r>
      <w:r w:rsidRPr="00B724EF">
        <w:t>-</w:t>
      </w:r>
      <w:r>
        <w:rPr>
          <w:lang w:val="en-US"/>
        </w:rPr>
        <w:t>in</w:t>
      </w:r>
      <w:r w:rsidRPr="00B724EF">
        <w:t xml:space="preserve"> </w:t>
      </w:r>
      <w:r>
        <w:t xml:space="preserve">πραγματοποιείται σε υψηλότερη θερμοκρασία από αυτή την </w:t>
      </w:r>
      <w:r w:rsidR="00AF02B4">
        <w:t>προεναπόθεσης</w:t>
      </w:r>
      <w:r>
        <w:t xml:space="preserve"> (μέχρι τους </w:t>
      </w:r>
      <m:oMath>
        <m:r>
          <w:rPr>
            <w:rFonts w:ascii="Cambria Math" w:hAnsi="Cambria Math"/>
          </w:rPr>
          <m:t>1200°</m:t>
        </m:r>
        <m:r>
          <w:rPr>
            <w:rFonts w:ascii="Cambria Math" w:hAnsi="Cambria Math"/>
            <w:lang w:val="en-US"/>
          </w:rPr>
          <m:t>C</m:t>
        </m:r>
      </m:oMath>
      <w:r>
        <w:t xml:space="preserve">). Ακόμα, για την τελεσφόρηση της διαδικασίας χρειάζεται μια </w:t>
      </w:r>
      <w:r w:rsidR="00AF02B4">
        <w:t>οξειδωτική</w:t>
      </w:r>
      <w:r>
        <w:t xml:space="preserve"> ατμόσφαιρα, έτσι ώστε να </w:t>
      </w:r>
      <w:r w:rsidR="00AF02B4">
        <w:t>σχηματιστεί</w:t>
      </w:r>
      <w:r>
        <w:t xml:space="preserve"> ένα στρώμα οξειδίου στην επιφάνεια. Οι ρυθμοί διάχυσης διαμέσου αυτού του στρώματος διοξειδίου του πυριτίου είναι σχετικά αργοί, με αποτέλεσμα πολύ λίγα άτομα πρόσμειξης να διαχέονται προς τα έξω και να ξεφεύγουν απ το πυρίτιο. Στο σχήμα 1 παρουσιάζονται προφίλ της συγκέντρωσης, για αυτήν την διεργασία, που έχουν ληφθεί σε τρείς διαφορετικούς χρόνους. Επιπλέον, στο σχήμα 2 συγκρίνονται (σχηματικά) τα προφίλ συγκέντρωσης για τις διεργασίες προεναπόθεσης και </w:t>
      </w:r>
      <w:r>
        <w:rPr>
          <w:lang w:val="en-US"/>
        </w:rPr>
        <w:t>drive</w:t>
      </w:r>
      <w:r w:rsidRPr="00B724EF">
        <w:t>-</w:t>
      </w:r>
      <w:r>
        <w:rPr>
          <w:lang w:val="en-US"/>
        </w:rPr>
        <w:t>in</w:t>
      </w:r>
      <w:r w:rsidRPr="00B724EF">
        <w:t>.</w:t>
      </w:r>
    </w:p>
    <w:p w:rsidR="0076623A" w:rsidRDefault="000D6BBE" w:rsidP="0076623A">
      <w:pPr>
        <w:keepNext/>
        <w:ind w:left="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6.75pt;margin-top:2.85pt;width:354.2pt;height:219.05pt;z-index:-251656192" wrapcoords="73 0 0 5031 732 5552 293 5552 0 5725 -73 7547 -73 11624 220 12492 0 13272 -73 19952 6077 20819 9372 20819 9226 21427 13326 21513 13619 21513 13546 20819 21600 19518 21600 19345 732 18043 21527 16829 21600 16655 13326 16655 8127 14227 7249 13880 7322 13272 6956 12492 4613 11104 4906 11104 5492 10149 5492 9716 4613 9282 2489 8328 2416 6940 7761 6940 15376 6159 15449 5031 2123 4164 2197 3817 1684 3296 732 2776 732 1388 21600 954 21600 781 10763 0 73 0">
            <v:imagedata r:id="rId6" o:title="1"/>
            <w10:wrap type="tight"/>
          </v:shape>
        </w:pict>
      </w:r>
      <w:r w:rsidR="0076623A" w:rsidRPr="0076623A">
        <w:t xml:space="preserve">  </w:t>
      </w:r>
    </w:p>
    <w:p w:rsidR="005E05CD" w:rsidRPr="00650A69" w:rsidRDefault="005E05CD" w:rsidP="00B724EF">
      <w:pPr>
        <w:keepNext/>
        <w:sectPr w:rsidR="005E05CD" w:rsidRPr="00650A69" w:rsidSect="0076623A">
          <w:pgSz w:w="11906" w:h="16838"/>
          <w:pgMar w:top="720" w:right="720" w:bottom="720" w:left="720" w:header="708" w:footer="708" w:gutter="0"/>
          <w:cols w:space="708"/>
          <w:docGrid w:linePitch="360"/>
        </w:sectPr>
      </w:pPr>
    </w:p>
    <w:p w:rsidR="00B724EF" w:rsidRDefault="00B724EF" w:rsidP="00B724EF">
      <w:pPr>
        <w:ind w:left="360"/>
        <w:jc w:val="center"/>
      </w:pPr>
    </w:p>
    <w:p w:rsidR="00B724EF" w:rsidRDefault="00B724EF" w:rsidP="00B724EF">
      <w:pPr>
        <w:ind w:left="360"/>
        <w:jc w:val="center"/>
      </w:pPr>
    </w:p>
    <w:p w:rsidR="00B724EF" w:rsidRPr="00650A69" w:rsidRDefault="00B724EF" w:rsidP="005E05CD"/>
    <w:p w:rsidR="005E05CD" w:rsidRPr="00650A69" w:rsidRDefault="005E05CD" w:rsidP="005E05CD"/>
    <w:p w:rsidR="00B724EF" w:rsidRDefault="00B724EF" w:rsidP="00B724EF">
      <w:pPr>
        <w:ind w:left="720" w:firstLine="720"/>
        <w:jc w:val="center"/>
      </w:pPr>
    </w:p>
    <w:p w:rsidR="00B724EF" w:rsidRPr="00B724EF" w:rsidRDefault="00C31397" w:rsidP="00C31397">
      <w:pPr>
        <w:ind w:left="2160"/>
        <w:rPr>
          <w:sz w:val="20"/>
          <w:szCs w:val="20"/>
          <w:u w:val="single"/>
        </w:rPr>
      </w:pPr>
      <w:r>
        <w:rPr>
          <w:sz w:val="20"/>
          <w:szCs w:val="20"/>
        </w:rPr>
        <w:t xml:space="preserve">           </w:t>
      </w:r>
      <w:r w:rsidR="00B724EF" w:rsidRPr="00B724EF">
        <w:rPr>
          <w:sz w:val="20"/>
          <w:szCs w:val="20"/>
          <w:u w:val="single"/>
        </w:rPr>
        <w:t>Σχήμα 1</w:t>
      </w:r>
    </w:p>
    <w:p w:rsidR="00B724EF" w:rsidRPr="00B724EF" w:rsidRDefault="00C31397" w:rsidP="00C31397">
      <w:pPr>
        <w:ind w:left="2160"/>
        <w:jc w:val="center"/>
        <w:rPr>
          <w:i/>
          <w:sz w:val="18"/>
          <w:szCs w:val="18"/>
        </w:rPr>
      </w:pPr>
      <w:r>
        <w:rPr>
          <w:i/>
          <w:sz w:val="18"/>
          <w:szCs w:val="18"/>
        </w:rPr>
        <w:t xml:space="preserve"> </w:t>
      </w:r>
      <w:r w:rsidR="00B724EF" w:rsidRPr="00B724EF">
        <w:rPr>
          <w:i/>
          <w:sz w:val="18"/>
          <w:szCs w:val="18"/>
        </w:rPr>
        <w:t xml:space="preserve">Προφίλ </w:t>
      </w:r>
      <w:r>
        <w:rPr>
          <w:i/>
          <w:sz w:val="18"/>
          <w:szCs w:val="18"/>
        </w:rPr>
        <w:t xml:space="preserve">  </w:t>
      </w:r>
      <w:r w:rsidR="00B724EF" w:rsidRPr="00B724EF">
        <w:rPr>
          <w:i/>
          <w:sz w:val="18"/>
          <w:szCs w:val="18"/>
        </w:rPr>
        <w:t xml:space="preserve">συγκέντρωσης για διάχυση </w:t>
      </w:r>
      <w:r w:rsidR="00B724EF" w:rsidRPr="00B724EF">
        <w:rPr>
          <w:i/>
          <w:sz w:val="18"/>
          <w:szCs w:val="18"/>
          <w:lang w:val="en-US"/>
        </w:rPr>
        <w:t>drive</w:t>
      </w:r>
      <w:r w:rsidR="00B724EF" w:rsidRPr="00B724EF">
        <w:rPr>
          <w:i/>
          <w:sz w:val="18"/>
          <w:szCs w:val="18"/>
        </w:rPr>
        <w:t>-</w:t>
      </w:r>
      <w:r w:rsidR="00B724EF" w:rsidRPr="00B724EF">
        <w:rPr>
          <w:i/>
          <w:sz w:val="18"/>
          <w:szCs w:val="18"/>
          <w:lang w:val="en-US"/>
        </w:rPr>
        <w:t>in</w:t>
      </w:r>
      <w:r w:rsidR="00B724EF" w:rsidRPr="00B724EF">
        <w:rPr>
          <w:i/>
          <w:sz w:val="18"/>
          <w:szCs w:val="18"/>
        </w:rPr>
        <w:t xml:space="preserve"> σε ημιαγωγούς για τρείς διαφορετικούς χρόνους.</w:t>
      </w:r>
    </w:p>
    <w:p w:rsidR="005E05CD" w:rsidRPr="00650A69" w:rsidRDefault="005E05CD" w:rsidP="005E05CD">
      <w:pPr>
        <w:rPr>
          <w:sz w:val="20"/>
          <w:szCs w:val="20"/>
          <w:u w:val="single"/>
        </w:rPr>
        <w:sectPr w:rsidR="005E05CD" w:rsidRPr="00650A69" w:rsidSect="0076623A">
          <w:type w:val="continuous"/>
          <w:pgSz w:w="11906" w:h="16838"/>
          <w:pgMar w:top="1440" w:right="1800" w:bottom="1440" w:left="1800" w:header="708" w:footer="708" w:gutter="0"/>
          <w:cols w:num="2" w:space="708"/>
          <w:docGrid w:linePitch="360"/>
        </w:sectPr>
      </w:pPr>
    </w:p>
    <w:p w:rsidR="005E05CD" w:rsidRPr="00650A69" w:rsidRDefault="005E05CD" w:rsidP="005E05CD">
      <w:pPr>
        <w:rPr>
          <w:sz w:val="20"/>
          <w:szCs w:val="20"/>
          <w:u w:val="single"/>
        </w:rPr>
      </w:pPr>
      <w:r>
        <w:rPr>
          <w:noProof/>
          <w:sz w:val="20"/>
          <w:szCs w:val="20"/>
          <w:u w:val="single"/>
        </w:rPr>
        <w:lastRenderedPageBreak/>
        <w:drawing>
          <wp:anchor distT="0" distB="0" distL="114300" distR="114300" simplePos="0" relativeHeight="251664384" behindDoc="1" locked="0" layoutInCell="1" allowOverlap="1">
            <wp:simplePos x="0" y="0"/>
            <wp:positionH relativeFrom="column">
              <wp:posOffset>22860</wp:posOffset>
            </wp:positionH>
            <wp:positionV relativeFrom="paragraph">
              <wp:posOffset>-130175</wp:posOffset>
            </wp:positionV>
            <wp:extent cx="4694555" cy="3092450"/>
            <wp:effectExtent l="19050" t="0" r="0" b="0"/>
            <wp:wrapTight wrapText="bothSides">
              <wp:wrapPolygon edited="0">
                <wp:start x="-88" y="0"/>
                <wp:lineTo x="-88" y="19427"/>
                <wp:lineTo x="5697" y="21290"/>
                <wp:lineTo x="6311" y="21423"/>
                <wp:lineTo x="7713" y="21423"/>
                <wp:lineTo x="16917" y="21423"/>
                <wp:lineTo x="17092" y="21290"/>
                <wp:lineTo x="21562" y="19294"/>
                <wp:lineTo x="21562" y="2262"/>
                <wp:lineTo x="789" y="2129"/>
                <wp:lineTo x="964" y="133"/>
                <wp:lineTo x="964" y="0"/>
                <wp:lineTo x="-88" y="0"/>
              </wp:wrapPolygon>
            </wp:wrapTight>
            <wp:docPr id="5" name="Εικόνα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pic:cNvPicPr>
                      <a:picLocks noChangeAspect="1" noChangeArrowheads="1"/>
                    </pic:cNvPicPr>
                  </pic:nvPicPr>
                  <pic:blipFill>
                    <a:blip r:embed="rId7"/>
                    <a:srcRect/>
                    <a:stretch>
                      <a:fillRect/>
                    </a:stretch>
                  </pic:blipFill>
                  <pic:spPr bwMode="auto">
                    <a:xfrm>
                      <a:off x="0" y="0"/>
                      <a:ext cx="4694555" cy="3092450"/>
                    </a:xfrm>
                    <a:prstGeom prst="rect">
                      <a:avLst/>
                    </a:prstGeom>
                    <a:noFill/>
                  </pic:spPr>
                </pic:pic>
              </a:graphicData>
            </a:graphic>
          </wp:anchor>
        </w:drawing>
      </w:r>
    </w:p>
    <w:p w:rsidR="00EB2DBC" w:rsidRPr="008B5ACC" w:rsidRDefault="00B724EF" w:rsidP="005E05CD">
      <w:pPr>
        <w:jc w:val="center"/>
        <w:rPr>
          <w:sz w:val="20"/>
          <w:szCs w:val="20"/>
          <w:u w:val="single"/>
        </w:rPr>
      </w:pPr>
      <w:r>
        <w:rPr>
          <w:sz w:val="20"/>
          <w:szCs w:val="20"/>
          <w:u w:val="single"/>
        </w:rPr>
        <w:t xml:space="preserve">Σχήμα </w:t>
      </w:r>
      <w:r w:rsidR="00EB2DBC">
        <w:rPr>
          <w:sz w:val="20"/>
          <w:szCs w:val="20"/>
          <w:u w:val="single"/>
        </w:rPr>
        <w:t>2</w:t>
      </w:r>
    </w:p>
    <w:p w:rsidR="00B724EF" w:rsidRPr="00EB2DBC" w:rsidRDefault="000D6BBE" w:rsidP="00AF02B4">
      <w:pPr>
        <w:jc w:val="center"/>
        <w:rPr>
          <w:i/>
          <w:sz w:val="18"/>
          <w:szCs w:val="18"/>
        </w:rPr>
      </w:pPr>
      <w:r w:rsidRPr="000D6BBE">
        <w:rPr>
          <w:noProof/>
          <w:sz w:val="20"/>
          <w:szCs w:val="20"/>
          <w:u w:val="single"/>
        </w:rPr>
        <w:pict>
          <v:rect id="_x0000_s1030" style="position:absolute;left:0;text-align:left;margin-left:-323.3pt;margin-top:9.4pt;width:19.95pt;height:19.95pt;z-index:251665408" strokecolor="white [3212]"/>
        </w:pict>
      </w:r>
      <w:r>
        <w:rPr>
          <w:i/>
          <w:noProof/>
          <w:sz w:val="18"/>
          <w:szCs w:val="18"/>
        </w:rPr>
        <w:pict>
          <v:rect id="_x0000_s1028" style="position:absolute;left:0;text-align:left;margin-left:158.25pt;margin-top:2.1pt;width:28.8pt;height:27.25pt;z-index:251663360" strokecolor="white [3212]"/>
        </w:pict>
      </w:r>
      <w:r w:rsidR="0076623A" w:rsidRPr="00B724EF">
        <w:rPr>
          <w:i/>
          <w:sz w:val="18"/>
          <w:szCs w:val="18"/>
        </w:rPr>
        <w:t>Προφίλ συγκέντρωσης υπολογισμένα μετά τις κατεργασίες</w:t>
      </w:r>
      <w:r w:rsidR="00C31397">
        <w:rPr>
          <w:i/>
          <w:sz w:val="18"/>
          <w:szCs w:val="18"/>
        </w:rPr>
        <w:t>:</w:t>
      </w:r>
    </w:p>
    <w:p w:rsidR="00B724EF" w:rsidRPr="00B724EF" w:rsidRDefault="0076623A" w:rsidP="005E05CD">
      <w:pPr>
        <w:jc w:val="center"/>
        <w:rPr>
          <w:i/>
          <w:sz w:val="18"/>
          <w:szCs w:val="18"/>
        </w:rPr>
      </w:pPr>
      <w:r w:rsidRPr="00B724EF">
        <w:rPr>
          <w:i/>
          <w:sz w:val="18"/>
          <w:szCs w:val="18"/>
        </w:rPr>
        <w:t>(1) προεναπόθεσης</w:t>
      </w:r>
      <w:r w:rsidR="005E05CD" w:rsidRPr="005E05CD">
        <w:rPr>
          <w:i/>
          <w:sz w:val="18"/>
          <w:szCs w:val="18"/>
        </w:rPr>
        <w:t xml:space="preserve"> </w:t>
      </w:r>
      <w:r w:rsidRPr="00B724EF">
        <w:rPr>
          <w:i/>
          <w:sz w:val="18"/>
          <w:szCs w:val="18"/>
        </w:rPr>
        <w:t>και</w:t>
      </w:r>
    </w:p>
    <w:p w:rsidR="00B724EF" w:rsidRPr="00B724EF" w:rsidRDefault="00B724EF" w:rsidP="00AF02B4">
      <w:pPr>
        <w:jc w:val="center"/>
        <w:rPr>
          <w:i/>
          <w:sz w:val="18"/>
          <w:szCs w:val="18"/>
        </w:rPr>
      </w:pPr>
      <w:r w:rsidRPr="00B724EF">
        <w:rPr>
          <w:i/>
          <w:sz w:val="18"/>
          <w:szCs w:val="18"/>
        </w:rPr>
        <w:t>(2) διάχυση</w:t>
      </w:r>
      <w:r w:rsidR="00EB2DBC">
        <w:rPr>
          <w:i/>
          <w:sz w:val="18"/>
          <w:szCs w:val="18"/>
        </w:rPr>
        <w:t>ς</w:t>
      </w:r>
      <w:r w:rsidR="0076623A" w:rsidRPr="00B724EF">
        <w:rPr>
          <w:i/>
          <w:sz w:val="18"/>
          <w:szCs w:val="18"/>
        </w:rPr>
        <w:t xml:space="preserve"> </w:t>
      </w:r>
      <w:r w:rsidR="0076623A" w:rsidRPr="00B724EF">
        <w:rPr>
          <w:i/>
          <w:sz w:val="18"/>
          <w:szCs w:val="18"/>
          <w:lang w:val="en-US"/>
        </w:rPr>
        <w:t>drive</w:t>
      </w:r>
      <w:r w:rsidR="0076623A" w:rsidRPr="00B724EF">
        <w:rPr>
          <w:i/>
          <w:sz w:val="18"/>
          <w:szCs w:val="18"/>
        </w:rPr>
        <w:t>-</w:t>
      </w:r>
      <w:r w:rsidR="0076623A" w:rsidRPr="00B724EF">
        <w:rPr>
          <w:i/>
          <w:sz w:val="18"/>
          <w:szCs w:val="18"/>
          <w:lang w:val="en-US"/>
        </w:rPr>
        <w:t>in</w:t>
      </w:r>
    </w:p>
    <w:p w:rsidR="00EB2DBC" w:rsidRDefault="0076623A" w:rsidP="00AF02B4">
      <w:pPr>
        <w:jc w:val="center"/>
        <w:rPr>
          <w:i/>
          <w:sz w:val="18"/>
          <w:szCs w:val="18"/>
        </w:rPr>
      </w:pPr>
      <w:r w:rsidRPr="00B724EF">
        <w:rPr>
          <w:i/>
          <w:sz w:val="18"/>
          <w:szCs w:val="18"/>
        </w:rPr>
        <w:t>σε ημιαγωγούς.</w:t>
      </w:r>
    </w:p>
    <w:p w:rsidR="0076623A" w:rsidRPr="00650A69" w:rsidRDefault="00EB2DBC" w:rsidP="00AF02B4">
      <w:pPr>
        <w:jc w:val="center"/>
        <w:rPr>
          <w:i/>
          <w:sz w:val="18"/>
          <w:szCs w:val="18"/>
        </w:rPr>
      </w:pPr>
      <w:proofErr w:type="gramStart"/>
      <w:r>
        <w:rPr>
          <w:i/>
          <w:sz w:val="18"/>
          <w:szCs w:val="18"/>
          <w:lang w:val="en-US"/>
        </w:rPr>
        <w:t>xj</w:t>
      </w:r>
      <w:proofErr w:type="gramEnd"/>
      <w:r w:rsidRPr="00EB2DBC">
        <w:rPr>
          <w:i/>
          <w:sz w:val="18"/>
          <w:szCs w:val="18"/>
        </w:rPr>
        <w:t>:</w:t>
      </w:r>
      <w:r w:rsidRPr="00650A69">
        <w:rPr>
          <w:i/>
          <w:sz w:val="18"/>
          <w:szCs w:val="18"/>
        </w:rPr>
        <w:t xml:space="preserve"> </w:t>
      </w:r>
      <w:r w:rsidR="0076623A" w:rsidRPr="00B724EF">
        <w:rPr>
          <w:i/>
          <w:sz w:val="18"/>
          <w:szCs w:val="18"/>
        </w:rPr>
        <w:t>Βάθος</w:t>
      </w:r>
      <w:r w:rsidR="00B724EF" w:rsidRPr="00B724EF">
        <w:rPr>
          <w:i/>
          <w:sz w:val="18"/>
          <w:szCs w:val="18"/>
        </w:rPr>
        <w:t xml:space="preserve"> </w:t>
      </w:r>
      <w:r w:rsidR="0076623A" w:rsidRPr="00B724EF">
        <w:rPr>
          <w:i/>
          <w:sz w:val="18"/>
          <w:szCs w:val="18"/>
        </w:rPr>
        <w:t>διασταύρωσης.</w:t>
      </w:r>
    </w:p>
    <w:p w:rsidR="00247DDF" w:rsidRPr="00650A69" w:rsidRDefault="00247DDF" w:rsidP="00AF02B4">
      <w:pPr>
        <w:jc w:val="center"/>
        <w:rPr>
          <w:i/>
          <w:sz w:val="18"/>
          <w:szCs w:val="18"/>
        </w:rPr>
      </w:pPr>
    </w:p>
    <w:p w:rsidR="00247DDF" w:rsidRPr="00650A69" w:rsidRDefault="00247DDF" w:rsidP="00AF02B4">
      <w:pPr>
        <w:jc w:val="center"/>
        <w:rPr>
          <w:i/>
          <w:sz w:val="18"/>
          <w:szCs w:val="18"/>
        </w:rPr>
      </w:pPr>
    </w:p>
    <w:p w:rsidR="008B5ACC" w:rsidRPr="00650A69" w:rsidRDefault="008B5ACC" w:rsidP="00AF02B4">
      <w:pPr>
        <w:jc w:val="center"/>
        <w:rPr>
          <w:i/>
          <w:sz w:val="18"/>
          <w:szCs w:val="18"/>
        </w:rPr>
      </w:pPr>
    </w:p>
    <w:p w:rsidR="008B5ACC" w:rsidRPr="00650A69" w:rsidRDefault="008B5ACC" w:rsidP="00AF02B4">
      <w:pPr>
        <w:jc w:val="center"/>
        <w:rPr>
          <w:i/>
          <w:sz w:val="18"/>
          <w:szCs w:val="18"/>
        </w:rPr>
      </w:pPr>
    </w:p>
    <w:p w:rsidR="00247DDF" w:rsidRPr="008B5ACC" w:rsidRDefault="00247DDF" w:rsidP="002B0DAB">
      <w:pPr>
        <w:ind w:firstLine="720"/>
        <w:jc w:val="both"/>
      </w:pPr>
      <w:r w:rsidRPr="008B5ACC">
        <w:t xml:space="preserve">Προσεγγιστικά δεχόμαστε ότι τα άτομα πρόσμειξης που εισάγονται κατά τη διεργασία προεναπόθεσης περιορίζονται σε ένα πολύ λεπτό στρώμα στην επιφάνεια του πυριτίου, οπότε η λύση που ικανοποιεί τον δεύτερο νόμο του </w:t>
      </w:r>
      <w:proofErr w:type="spellStart"/>
      <w:r w:rsidR="00273F9E" w:rsidRPr="008B5ACC">
        <w:rPr>
          <w:lang w:val="en-US"/>
        </w:rPr>
        <w:t>F</w:t>
      </w:r>
      <w:r w:rsidRPr="008B5ACC">
        <w:rPr>
          <w:lang w:val="en-US"/>
        </w:rPr>
        <w:t>ick</w:t>
      </w:r>
      <w:proofErr w:type="spellEnd"/>
      <w:r w:rsidR="00273F9E" w:rsidRPr="008B5ACC">
        <w:t xml:space="preserve"> </w:t>
      </w:r>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(D</m:t>
        </m:r>
        <m:f>
          <m:fPr>
            <m:ctrlPr>
              <w:rPr>
                <w:rFonts w:ascii="Cambria Math" w:hAnsi="Cambria Math"/>
                <w:i/>
              </w:rPr>
            </m:ctrlPr>
          </m:fPr>
          <m:num>
            <m:r>
              <w:rPr>
                <w:rFonts w:ascii="Cambria Math" w:hAnsi="Cambria Math"/>
              </w:rPr>
              <m:t>∂C</m:t>
            </m:r>
          </m:num>
          <m:den>
            <m:r>
              <w:rPr>
                <w:rFonts w:ascii="Cambria Math" w:hAnsi="Cambria Math"/>
              </w:rPr>
              <m:t>∂x</m:t>
            </m:r>
          </m:den>
        </m:f>
        <m:r>
          <w:rPr>
            <w:rFonts w:ascii="Cambria Math" w:hAnsi="Cambria Math"/>
          </w:rPr>
          <m:t>)</m:t>
        </m:r>
      </m:oMath>
      <w:r w:rsidRPr="008B5ACC">
        <w:t xml:space="preserve">  για την διάχυση </w:t>
      </w:r>
      <w:r w:rsidRPr="008B5ACC">
        <w:rPr>
          <w:lang w:val="en-US"/>
        </w:rPr>
        <w:t>drive</w:t>
      </w:r>
      <w:r w:rsidRPr="008B5ACC">
        <w:t>-</w:t>
      </w:r>
      <w:r w:rsidRPr="008B5ACC">
        <w:rPr>
          <w:lang w:val="en-US"/>
        </w:rPr>
        <w:t>in</w:t>
      </w:r>
      <w:r w:rsidRPr="008B5ACC">
        <w:t xml:space="preserve"> παίρνει την μορφή:</w:t>
      </w:r>
    </w:p>
    <w:p w:rsidR="00247DDF" w:rsidRPr="008B5ACC" w:rsidRDefault="00247DDF" w:rsidP="002B0DAB">
      <w:pPr>
        <w:jc w:val="both"/>
        <w:rPr>
          <w:lang w:val="en-US"/>
        </w:rPr>
      </w:pPr>
      <m:oMathPara>
        <m:oMath>
          <m:r>
            <w:rPr>
              <w:rFonts w:ascii="Cambria Math" w:hAnsi="Cambria Math"/>
            </w:rPr>
            <m:t>C</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rad>
                <m:radPr>
                  <m:degHide m:val="on"/>
                  <m:ctrlPr>
                    <w:rPr>
                      <w:rFonts w:ascii="Cambria Math" w:hAnsi="Cambria Math"/>
                      <w:i/>
                    </w:rPr>
                  </m:ctrlPr>
                </m:radPr>
                <m:deg/>
                <m:e>
                  <m:r>
                    <w:rPr>
                      <w:rFonts w:ascii="Cambria Math" w:hAnsi="Cambria Math"/>
                    </w:rPr>
                    <m:t>π</m:t>
                  </m:r>
                  <m:r>
                    <w:rPr>
                      <w:rFonts w:ascii="Cambria Math" w:hAnsi="Cambria Math"/>
                      <w:lang w:val="en-US"/>
                    </w:rPr>
                    <m:t>Dt</m:t>
                  </m:r>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lang w:val="en-US"/>
                        </w:rPr>
                        <m:t>x</m:t>
                      </m:r>
                    </m:e>
                    <m:sup>
                      <m:r>
                        <w:rPr>
                          <w:rFonts w:ascii="Cambria Math" w:hAnsi="Cambria Math"/>
                        </w:rPr>
                        <m:t>2</m:t>
                      </m:r>
                    </m:sup>
                  </m:sSup>
                </m:num>
                <m:den>
                  <m:r>
                    <w:rPr>
                      <w:rFonts w:ascii="Cambria Math" w:hAnsi="Cambria Math"/>
                    </w:rPr>
                    <m:t>4Dt</m:t>
                  </m:r>
                </m:den>
              </m:f>
            </m:e>
          </m:d>
        </m:oMath>
      </m:oMathPara>
    </w:p>
    <w:p w:rsidR="00247DDF" w:rsidRPr="008B5ACC" w:rsidRDefault="00273F9E" w:rsidP="002B0DAB">
      <w:pPr>
        <w:ind w:firstLine="720"/>
        <w:jc w:val="both"/>
      </w:pPr>
      <w:r w:rsidRPr="008B5ACC">
        <w:t xml:space="preserve">Όπου </w:t>
      </w:r>
      <w:r w:rsidRPr="008B5ACC">
        <w:rPr>
          <w:lang w:val="en-US"/>
        </w:rPr>
        <w:t>Q</w:t>
      </w:r>
      <w:r w:rsidRPr="008B5ACC">
        <w:rPr>
          <w:vertAlign w:val="subscript"/>
        </w:rPr>
        <w:t>0</w:t>
      </w:r>
      <w:r w:rsidRPr="008B5ACC">
        <w:t xml:space="preserve"> η συνολική ποσότητα των προσμείξεων στο στερεό που εισήχθησαν κατά τη διάρκεια της διεργασίες προεναπόθεσης (αριθμός ατόμων πρόσμειξης/μονάδα περιοχής). Ακόμα, αποδεικνύεται ότι:</w:t>
      </w:r>
    </w:p>
    <w:p w:rsidR="00273F9E" w:rsidRPr="008B5ACC" w:rsidRDefault="000D6BBE" w:rsidP="002B0DAB">
      <w:pPr>
        <w:jc w:val="both"/>
        <w:rPr>
          <w:lang w:val="en-US"/>
        </w:rPr>
      </w:pPr>
      <m:oMathPara>
        <m:oMath>
          <m:sSub>
            <m:sSubPr>
              <m:ctrlPr>
                <w:rPr>
                  <w:rFonts w:ascii="Cambria Math" w:hAnsi="Cambria Math"/>
                  <w:i/>
                </w:rPr>
              </m:ctrlPr>
            </m:sSubPr>
            <m:e>
              <m:r>
                <w:rPr>
                  <w:rFonts w:ascii="Cambria Math" w:hAnsi="Cambria Math"/>
                  <w:lang w:val="en-US"/>
                </w:rPr>
                <m:t>Q</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s</m:t>
              </m:r>
            </m:sub>
          </m:sSub>
          <m:rad>
            <m:radPr>
              <m:degHide m:val="on"/>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p</m:t>
                      </m:r>
                    </m:sub>
                  </m:sSub>
                </m:num>
                <m:den>
                  <m:r>
                    <w:rPr>
                      <w:rFonts w:ascii="Cambria Math" w:hAnsi="Cambria Math"/>
                    </w:rPr>
                    <m:t>π</m:t>
                  </m:r>
                </m:den>
              </m:f>
            </m:e>
          </m:rad>
        </m:oMath>
      </m:oMathPara>
    </w:p>
    <w:p w:rsidR="00273F9E" w:rsidRPr="008B5ACC" w:rsidRDefault="00273F9E" w:rsidP="002B0DAB">
      <w:pPr>
        <w:jc w:val="both"/>
      </w:pPr>
      <w:r w:rsidRPr="008B5ACC">
        <w:t xml:space="preserve">Με: </w:t>
      </w:r>
      <w:r w:rsidRPr="008B5ACC">
        <w:rPr>
          <w:lang w:val="en-US"/>
        </w:rPr>
        <w:t>C</w:t>
      </w:r>
      <w:r w:rsidRPr="008B5ACC">
        <w:rPr>
          <w:vertAlign w:val="subscript"/>
          <w:lang w:val="en-US"/>
        </w:rPr>
        <w:t>s</w:t>
      </w:r>
      <w:r w:rsidRPr="008B5ACC">
        <w:t xml:space="preserve"> την επιφανειακή συγκέντρωση για το βήμα προεναπόθεσης (σχήμα 2) (διατηρήθηκε σταθερή),</w:t>
      </w:r>
    </w:p>
    <w:p w:rsidR="00273F9E" w:rsidRPr="008B5ACC" w:rsidRDefault="00273F9E" w:rsidP="002B0DAB">
      <w:pPr>
        <w:jc w:val="both"/>
      </w:pPr>
      <w:r w:rsidRPr="008B5ACC">
        <w:t xml:space="preserve">       </w:t>
      </w:r>
      <w:proofErr w:type="spellStart"/>
      <w:proofErr w:type="gramStart"/>
      <w:r w:rsidRPr="008B5ACC">
        <w:rPr>
          <w:lang w:val="en-US"/>
        </w:rPr>
        <w:t>D</w:t>
      </w:r>
      <w:r w:rsidRPr="008B5ACC">
        <w:rPr>
          <w:vertAlign w:val="subscript"/>
          <w:lang w:val="en-US"/>
        </w:rPr>
        <w:t>p</w:t>
      </w:r>
      <w:proofErr w:type="spellEnd"/>
      <w:proofErr w:type="gramEnd"/>
      <w:r w:rsidRPr="008B5ACC">
        <w:t xml:space="preserve"> </w:t>
      </w:r>
      <w:r w:rsidRPr="008B5ACC">
        <w:rPr>
          <w:lang w:val="en-US"/>
        </w:rPr>
        <w:t>o</w:t>
      </w:r>
      <w:r w:rsidRPr="008B5ACC">
        <w:t xml:space="preserve"> συντελεστής διάχυσης,</w:t>
      </w:r>
    </w:p>
    <w:p w:rsidR="00273F9E" w:rsidRPr="008B5ACC" w:rsidRDefault="00273F9E" w:rsidP="002B0DAB">
      <w:pPr>
        <w:jc w:val="both"/>
      </w:pPr>
      <w:r w:rsidRPr="008B5ACC">
        <w:t xml:space="preserve">      </w:t>
      </w:r>
      <w:proofErr w:type="spellStart"/>
      <w:proofErr w:type="gramStart"/>
      <w:r w:rsidRPr="008B5ACC">
        <w:rPr>
          <w:lang w:val="en-US"/>
        </w:rPr>
        <w:t>T</w:t>
      </w:r>
      <w:r w:rsidRPr="008B5ACC">
        <w:rPr>
          <w:vertAlign w:val="subscript"/>
          <w:lang w:val="en-US"/>
        </w:rPr>
        <w:t>p</w:t>
      </w:r>
      <w:proofErr w:type="spellEnd"/>
      <w:r w:rsidRPr="008B5ACC">
        <w:t xml:space="preserve"> </w:t>
      </w:r>
      <w:r w:rsidRPr="008B5ACC">
        <w:rPr>
          <w:lang w:val="en-US"/>
        </w:rPr>
        <w:t>o</w:t>
      </w:r>
      <w:r w:rsidRPr="008B5ACC">
        <w:t xml:space="preserve"> χρόνος της διεργασίας προεναπόθεσης.</w:t>
      </w:r>
      <w:proofErr w:type="gramEnd"/>
    </w:p>
    <w:p w:rsidR="00EB2DDE" w:rsidRPr="008B5ACC" w:rsidRDefault="00EB2DDE" w:rsidP="002B0DAB">
      <w:pPr>
        <w:jc w:val="both"/>
      </w:pPr>
      <w:r w:rsidRPr="008B5ACC">
        <w:tab/>
        <w:t xml:space="preserve">Μια ακόμη σημαντική παράμετρος διάχυσης είναι το λεγόμενο </w:t>
      </w:r>
      <w:r w:rsidRPr="008B5ACC">
        <w:rPr>
          <w:i/>
        </w:rPr>
        <w:t>βάθος διασταύρωσης</w:t>
      </w:r>
      <w:r w:rsidRPr="008B5ACC">
        <w:t xml:space="preserve"> (</w:t>
      </w:r>
      <w:r w:rsidRPr="008B5ACC">
        <w:rPr>
          <w:i/>
          <w:lang w:val="en-US"/>
        </w:rPr>
        <w:t>junction</w:t>
      </w:r>
      <w:r w:rsidRPr="008B5ACC">
        <w:rPr>
          <w:i/>
        </w:rPr>
        <w:t xml:space="preserve"> </w:t>
      </w:r>
      <w:r w:rsidRPr="008B5ACC">
        <w:rPr>
          <w:i/>
          <w:lang w:val="en-US"/>
        </w:rPr>
        <w:t>depth</w:t>
      </w:r>
      <w:r w:rsidRPr="008B5ACC">
        <w:rPr>
          <w:i/>
        </w:rPr>
        <w:t>)</w:t>
      </w:r>
      <w:r w:rsidRPr="008B5ACC">
        <w:t>,</w:t>
      </w:r>
      <w:r w:rsidRPr="008B5ACC">
        <w:rPr>
          <w:i/>
        </w:rPr>
        <w:t xml:space="preserve"> </w:t>
      </w:r>
      <w:proofErr w:type="spellStart"/>
      <w:r w:rsidRPr="008B5ACC">
        <w:rPr>
          <w:i/>
          <w:lang w:val="en-US"/>
        </w:rPr>
        <w:t>x</w:t>
      </w:r>
      <w:r w:rsidRPr="008B5ACC">
        <w:rPr>
          <w:i/>
          <w:vertAlign w:val="subscript"/>
          <w:lang w:val="en-US"/>
        </w:rPr>
        <w:t>j</w:t>
      </w:r>
      <w:proofErr w:type="spellEnd"/>
      <w:r w:rsidRPr="008B5ACC">
        <w:rPr>
          <w:i/>
        </w:rPr>
        <w:t>.</w:t>
      </w:r>
      <w:r w:rsidRPr="008B5ACC">
        <w:t xml:space="preserve">Αυτό </w:t>
      </w:r>
      <w:proofErr w:type="spellStart"/>
      <w:r w:rsidRPr="008B5ACC">
        <w:t>καταδυκνείει</w:t>
      </w:r>
      <w:proofErr w:type="spellEnd"/>
      <w:r w:rsidRPr="008B5ACC">
        <w:t xml:space="preserve"> το βάθος (δηλαδή το </w:t>
      </w:r>
      <w:r w:rsidRPr="008B5ACC">
        <w:rPr>
          <w:lang w:val="en-US"/>
        </w:rPr>
        <w:t>x</w:t>
      </w:r>
      <w:r w:rsidRPr="008B5ACC">
        <w:t>) στο οποίο η συγκέντρωση της πρόσμειξης είναι ακριβώς ίση με τη συγκέντρωση υποβάθρου για την συγκεκριμένη πρόσμειξη στο πυρίτιο (</w:t>
      </w:r>
      <w:r w:rsidRPr="008B5ACC">
        <w:rPr>
          <w:lang w:val="en-US"/>
        </w:rPr>
        <w:t>C</w:t>
      </w:r>
      <w:r w:rsidRPr="008B5ACC">
        <w:rPr>
          <w:vertAlign w:val="subscript"/>
          <w:lang w:val="en-US"/>
        </w:rPr>
        <w:t>B</w:t>
      </w:r>
      <w:r w:rsidRPr="008B5ACC">
        <w:t xml:space="preserve">) (Σχήμα 2). Για την διάχυση </w:t>
      </w:r>
      <w:r w:rsidRPr="008B5ACC">
        <w:rPr>
          <w:lang w:val="en-US"/>
        </w:rPr>
        <w:t>drive</w:t>
      </w:r>
      <w:r w:rsidRPr="008B5ACC">
        <w:t>-</w:t>
      </w:r>
      <w:r w:rsidRPr="008B5ACC">
        <w:rPr>
          <w:lang w:val="en-US"/>
        </w:rPr>
        <w:t>in</w:t>
      </w:r>
      <w:r w:rsidRPr="008B5ACC">
        <w:t xml:space="preserve"> το βάθος </w:t>
      </w:r>
      <w:proofErr w:type="spellStart"/>
      <w:r w:rsidRPr="008B5ACC">
        <w:rPr>
          <w:lang w:val="en-US"/>
        </w:rPr>
        <w:t>x</w:t>
      </w:r>
      <w:r w:rsidRPr="008B5ACC">
        <w:rPr>
          <w:vertAlign w:val="subscript"/>
          <w:lang w:val="en-US"/>
        </w:rPr>
        <w:t>j</w:t>
      </w:r>
      <w:proofErr w:type="spellEnd"/>
      <w:r w:rsidRPr="008B5ACC">
        <w:t xml:space="preserve"> μπορεί να υπολογιστεί χρησιμοποιώντας την έκφραση:</w:t>
      </w:r>
    </w:p>
    <w:p w:rsidR="00EB2DDE" w:rsidRPr="008B5ACC" w:rsidRDefault="000D6BBE" w:rsidP="002B0DAB">
      <w:pPr>
        <w:jc w:val="both"/>
        <w:rPr>
          <w:lang w:val="en-US"/>
        </w:rPr>
      </w:pPr>
      <m:oMathPara>
        <m:oMath>
          <m:sSub>
            <m:sSubPr>
              <m:ctrlPr>
                <w:rPr>
                  <w:rFonts w:ascii="Cambria Math" w:hAnsi="Cambria Math"/>
                  <w:i/>
                </w:rPr>
              </m:ctrlPr>
            </m:sSubPr>
            <m:e>
              <m:r>
                <w:rPr>
                  <w:rFonts w:ascii="Cambria Math" w:hAnsi="Cambria Math"/>
                  <w:lang w:val="en-US"/>
                </w:rPr>
                <m:t>x</m:t>
              </m:r>
            </m:e>
            <m:sub>
              <m:r>
                <w:rPr>
                  <w:rFonts w:ascii="Cambria Math" w:hAnsi="Cambria Math"/>
                </w:rPr>
                <m:t>j</m:t>
              </m:r>
            </m:sub>
          </m:sSub>
          <m:r>
            <w:rPr>
              <w:rFonts w:ascii="Cambria Math" w:hAnsi="Cambria Math"/>
            </w:rPr>
            <m:t xml:space="preserve">= </m:t>
          </m:r>
          <m:rad>
            <m:radPr>
              <m:degHide m:val="on"/>
              <m:ctrlPr>
                <w:rPr>
                  <w:rFonts w:ascii="Cambria Math" w:hAnsi="Cambria Math"/>
                  <w:i/>
                </w:rPr>
              </m:ctrlPr>
            </m:radPr>
            <m:deg/>
            <m:e>
              <m:d>
                <m:dPr>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D</m:t>
                      </m:r>
                    </m:e>
                    <m:sub>
                      <m:r>
                        <w:rPr>
                          <w:rFonts w:ascii="Cambria Math" w:hAnsi="Cambria Math"/>
                        </w:rPr>
                        <m:t>d</m:t>
                      </m:r>
                    </m:sub>
                  </m:sSub>
                  <m:sSub>
                    <m:sSubPr>
                      <m:ctrlPr>
                        <w:rPr>
                          <w:rFonts w:ascii="Cambria Math" w:hAnsi="Cambria Math"/>
                          <w:i/>
                        </w:rPr>
                      </m:ctrlPr>
                    </m:sSubPr>
                    <m:e>
                      <m:r>
                        <w:rPr>
                          <w:rFonts w:ascii="Cambria Math" w:hAnsi="Cambria Math"/>
                        </w:rPr>
                        <m:t>t</m:t>
                      </m:r>
                    </m:e>
                    <m:sub>
                      <m:r>
                        <w:rPr>
                          <w:rFonts w:ascii="Cambria Math" w:hAnsi="Cambria Math"/>
                        </w:rPr>
                        <m:t>d</m:t>
                      </m:r>
                    </m:sub>
                  </m:sSub>
                </m:e>
              </m:d>
              <m:r>
                <m:rPr>
                  <m:sty m:val="p"/>
                </m:rPr>
                <w:rPr>
                  <w:rFonts w:ascii="Cambria Math" w:hAnsi="Cambria Math"/>
                </w:rPr>
                <m:t>ln⁡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B</m:t>
                      </m:r>
                    </m:sub>
                  </m:sSub>
                  <m:rad>
                    <m:radPr>
                      <m:degHide m:val="on"/>
                      <m:ctrlPr>
                        <w:rPr>
                          <w:rFonts w:ascii="Cambria Math" w:hAnsi="Cambria Math"/>
                          <w:i/>
                        </w:rPr>
                      </m:ctrlPr>
                    </m:radPr>
                    <m:deg/>
                    <m:e>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d</m:t>
                          </m:r>
                        </m:sub>
                      </m:sSub>
                      <m:sSub>
                        <m:sSubPr>
                          <m:ctrlPr>
                            <w:rPr>
                              <w:rFonts w:ascii="Cambria Math" w:hAnsi="Cambria Math"/>
                              <w:i/>
                            </w:rPr>
                          </m:ctrlPr>
                        </m:sSubPr>
                        <m:e>
                          <m:r>
                            <w:rPr>
                              <w:rFonts w:ascii="Cambria Math" w:hAnsi="Cambria Math"/>
                            </w:rPr>
                            <m:t>t</m:t>
                          </m:r>
                        </m:e>
                        <m:sub>
                          <m:r>
                            <w:rPr>
                              <w:rFonts w:ascii="Cambria Math" w:hAnsi="Cambria Math"/>
                              <w:lang w:val="en-US"/>
                            </w:rPr>
                            <m:t>d</m:t>
                          </m:r>
                        </m:sub>
                      </m:sSub>
                    </m:e>
                  </m:rad>
                </m:den>
              </m:f>
            </m:e>
          </m:rad>
        </m:oMath>
      </m:oMathPara>
    </w:p>
    <w:p w:rsidR="00EB2DDE" w:rsidRPr="008B5ACC" w:rsidRDefault="00EB2DDE" w:rsidP="002B0DAB">
      <w:pPr>
        <w:jc w:val="both"/>
      </w:pPr>
      <w:r w:rsidRPr="008B5ACC">
        <w:t xml:space="preserve">Όπου: </w:t>
      </w:r>
      <w:proofErr w:type="spellStart"/>
      <w:r w:rsidRPr="008B5ACC">
        <w:rPr>
          <w:lang w:val="en-US"/>
        </w:rPr>
        <w:t>D</w:t>
      </w:r>
      <w:r w:rsidRPr="008B5ACC">
        <w:rPr>
          <w:vertAlign w:val="subscript"/>
          <w:lang w:val="en-US"/>
        </w:rPr>
        <w:t>d</w:t>
      </w:r>
      <w:proofErr w:type="spellEnd"/>
      <w:r w:rsidRPr="008B5ACC">
        <w:t xml:space="preserve"> ο συντελεστής διάχυσης και</w:t>
      </w:r>
    </w:p>
    <w:p w:rsidR="00EB2DDE" w:rsidRDefault="00EB2DDE" w:rsidP="002B0DAB">
      <w:pPr>
        <w:jc w:val="both"/>
        <w:rPr>
          <w:lang w:val="en-US"/>
        </w:rPr>
      </w:pPr>
      <w:r w:rsidRPr="008B5ACC">
        <w:t xml:space="preserve">            </w:t>
      </w:r>
      <w:proofErr w:type="gramStart"/>
      <w:r w:rsidRPr="008B5ACC">
        <w:rPr>
          <w:lang w:val="en-US"/>
        </w:rPr>
        <w:t>T</w:t>
      </w:r>
      <w:r w:rsidRPr="008B5ACC">
        <w:rPr>
          <w:vertAlign w:val="subscript"/>
          <w:lang w:val="en-US"/>
        </w:rPr>
        <w:t>d</w:t>
      </w:r>
      <w:r w:rsidRPr="008B5ACC">
        <w:t xml:space="preserve"> </w:t>
      </w:r>
      <w:r w:rsidRPr="008B5ACC">
        <w:rPr>
          <w:lang w:val="en-US"/>
        </w:rPr>
        <w:t>o</w:t>
      </w:r>
      <w:r w:rsidRPr="008B5ACC">
        <w:t xml:space="preserve"> χρόνος της διεργασίας διάχυσης </w:t>
      </w:r>
      <w:r w:rsidRPr="008B5ACC">
        <w:rPr>
          <w:lang w:val="en-US"/>
        </w:rPr>
        <w:t>drive</w:t>
      </w:r>
      <w:r w:rsidRPr="008B5ACC">
        <w:t>-</w:t>
      </w:r>
      <w:r w:rsidRPr="008B5ACC">
        <w:rPr>
          <w:lang w:val="en-US"/>
        </w:rPr>
        <w:t>in</w:t>
      </w:r>
      <w:r w:rsidRPr="008B5ACC">
        <w:t>.</w:t>
      </w:r>
      <w:proofErr w:type="gramEnd"/>
    </w:p>
    <w:p w:rsidR="00E02283" w:rsidRDefault="00E02283" w:rsidP="002B0DAB">
      <w:pPr>
        <w:jc w:val="both"/>
        <w:rPr>
          <w:lang w:val="en-US"/>
        </w:rPr>
      </w:pPr>
    </w:p>
    <w:p w:rsidR="00E02283" w:rsidRDefault="00E02283" w:rsidP="00E02283">
      <w:pPr>
        <w:pStyle w:val="2"/>
      </w:pPr>
      <w:r>
        <w:t>Βιβλιογραφία</w:t>
      </w:r>
    </w:p>
    <w:p w:rsidR="00E02283" w:rsidRPr="00E02283" w:rsidRDefault="00E02283" w:rsidP="00E02283">
      <w:pPr>
        <w:rPr>
          <w:lang w:val="en-US"/>
        </w:rPr>
      </w:pPr>
      <w:r>
        <w:tab/>
      </w:r>
      <w:r w:rsidRPr="00E02283">
        <w:rPr>
          <w:lang w:val="en-US"/>
        </w:rPr>
        <w:t xml:space="preserve"> </w:t>
      </w:r>
      <w:proofErr w:type="spellStart"/>
      <w:r w:rsidRPr="00E02283">
        <w:rPr>
          <w:rStyle w:val="a9"/>
          <w:rFonts w:ascii="Arial" w:hAnsi="Arial" w:cs="Arial"/>
          <w:color w:val="666666"/>
          <w:sz w:val="26"/>
          <w:szCs w:val="26"/>
          <w:lang w:val="en-US"/>
        </w:rPr>
        <w:t>Callister</w:t>
      </w:r>
      <w:proofErr w:type="spellEnd"/>
      <w:r>
        <w:rPr>
          <w:rStyle w:val="a9"/>
          <w:rFonts w:ascii="Arial" w:hAnsi="Arial" w:cs="Arial"/>
          <w:color w:val="666666"/>
          <w:sz w:val="26"/>
          <w:szCs w:val="26"/>
          <w:lang w:val="en-US"/>
        </w:rPr>
        <w:t xml:space="preserve"> W.D, </w:t>
      </w:r>
      <w:proofErr w:type="spellStart"/>
      <w:r>
        <w:rPr>
          <w:rStyle w:val="a9"/>
          <w:rFonts w:ascii="Arial" w:hAnsi="Arial" w:cs="Arial"/>
          <w:color w:val="666666"/>
          <w:sz w:val="26"/>
          <w:szCs w:val="26"/>
          <w:lang w:val="en-US"/>
        </w:rPr>
        <w:t>Rethwisch</w:t>
      </w:r>
      <w:proofErr w:type="spellEnd"/>
      <w:r>
        <w:rPr>
          <w:rStyle w:val="a9"/>
          <w:rFonts w:ascii="Arial" w:hAnsi="Arial" w:cs="Arial"/>
          <w:color w:val="666666"/>
          <w:sz w:val="26"/>
          <w:szCs w:val="26"/>
          <w:lang w:val="en-US"/>
        </w:rPr>
        <w:t xml:space="preserve"> D.:</w:t>
      </w:r>
      <w:r w:rsidRPr="00E02283">
        <w:rPr>
          <w:rFonts w:ascii="Arial" w:hAnsi="Arial" w:cs="Arial"/>
          <w:color w:val="666666"/>
          <w:sz w:val="26"/>
          <w:szCs w:val="26"/>
          <w:lang w:val="en-US"/>
        </w:rPr>
        <w:t>: Fundamentals of Materials Science and Engineering</w:t>
      </w:r>
    </w:p>
    <w:sectPr w:rsidR="00E02283" w:rsidRPr="00E02283" w:rsidSect="008B5ACC">
      <w:type w:val="continuous"/>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9E018D"/>
    <w:multiLevelType w:val="hybridMultilevel"/>
    <w:tmpl w:val="6F7423E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778617BF"/>
    <w:multiLevelType w:val="hybridMultilevel"/>
    <w:tmpl w:val="2D962356"/>
    <w:lvl w:ilvl="0" w:tplc="A4DAEF12">
      <w:numFmt w:val="bullet"/>
      <w:lvlText w:val=""/>
      <w:lvlJc w:val="left"/>
      <w:pPr>
        <w:ind w:left="720" w:hanging="360"/>
      </w:pPr>
      <w:rPr>
        <w:rFonts w:ascii="Wingdings" w:eastAsiaTheme="minorEastAsia"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drawingGridHorizontalSpacing w:val="110"/>
  <w:displayHorizontalDrawingGridEvery w:val="2"/>
  <w:characterSpacingControl w:val="doNotCompress"/>
  <w:compat>
    <w:useFELayout/>
  </w:compat>
  <w:rsids>
    <w:rsidRoot w:val="00BD13C8"/>
    <w:rsid w:val="000D4A5F"/>
    <w:rsid w:val="000D6BBE"/>
    <w:rsid w:val="00236EE0"/>
    <w:rsid w:val="00247DDF"/>
    <w:rsid w:val="00273F9E"/>
    <w:rsid w:val="00296239"/>
    <w:rsid w:val="002B0DAB"/>
    <w:rsid w:val="0053160E"/>
    <w:rsid w:val="005E05CD"/>
    <w:rsid w:val="00650A69"/>
    <w:rsid w:val="006D77D6"/>
    <w:rsid w:val="0076623A"/>
    <w:rsid w:val="008B5ACC"/>
    <w:rsid w:val="00972CA2"/>
    <w:rsid w:val="0099690F"/>
    <w:rsid w:val="00AF02B4"/>
    <w:rsid w:val="00B724EF"/>
    <w:rsid w:val="00BD13C8"/>
    <w:rsid w:val="00C31397"/>
    <w:rsid w:val="00C539E6"/>
    <w:rsid w:val="00E02283"/>
    <w:rsid w:val="00EB2DBC"/>
    <w:rsid w:val="00EB2DDE"/>
    <w:rsid w:val="00F1197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EE0"/>
  </w:style>
  <w:style w:type="paragraph" w:styleId="1">
    <w:name w:val="heading 1"/>
    <w:basedOn w:val="a"/>
    <w:next w:val="a"/>
    <w:link w:val="1Char"/>
    <w:uiPriority w:val="9"/>
    <w:qFormat/>
    <w:rsid w:val="00F119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022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D1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BD13C8"/>
    <w:rPr>
      <w:rFonts w:asciiTheme="majorHAnsi" w:eastAsiaTheme="majorEastAsia" w:hAnsiTheme="majorHAnsi" w:cstheme="majorBidi"/>
      <w:color w:val="17365D" w:themeColor="text2" w:themeShade="BF"/>
      <w:spacing w:val="5"/>
      <w:kern w:val="28"/>
      <w:sz w:val="52"/>
      <w:szCs w:val="52"/>
    </w:rPr>
  </w:style>
  <w:style w:type="paragraph" w:styleId="a4">
    <w:name w:val="Balloon Text"/>
    <w:basedOn w:val="a"/>
    <w:link w:val="Char0"/>
    <w:uiPriority w:val="99"/>
    <w:semiHidden/>
    <w:unhideWhenUsed/>
    <w:rsid w:val="00BD13C8"/>
    <w:pPr>
      <w:spacing w:after="0" w:line="240" w:lineRule="auto"/>
    </w:pPr>
    <w:rPr>
      <w:rFonts w:ascii="Tahoma" w:hAnsi="Tahoma" w:cs="Tahoma"/>
      <w:sz w:val="16"/>
      <w:szCs w:val="16"/>
    </w:rPr>
  </w:style>
  <w:style w:type="character" w:customStyle="1" w:styleId="Char0">
    <w:name w:val="Κείμενο πλαισίου Char"/>
    <w:basedOn w:val="a0"/>
    <w:link w:val="a4"/>
    <w:uiPriority w:val="99"/>
    <w:semiHidden/>
    <w:rsid w:val="00BD13C8"/>
    <w:rPr>
      <w:rFonts w:ascii="Tahoma" w:hAnsi="Tahoma" w:cs="Tahoma"/>
      <w:sz w:val="16"/>
      <w:szCs w:val="16"/>
    </w:rPr>
  </w:style>
  <w:style w:type="character" w:customStyle="1" w:styleId="1Char">
    <w:name w:val="Επικεφαλίδα 1 Char"/>
    <w:basedOn w:val="a0"/>
    <w:link w:val="1"/>
    <w:uiPriority w:val="9"/>
    <w:rsid w:val="00F1197D"/>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F1197D"/>
    <w:pPr>
      <w:ind w:left="720"/>
      <w:contextualSpacing/>
    </w:pPr>
  </w:style>
  <w:style w:type="character" w:styleId="a6">
    <w:name w:val="Placeholder Text"/>
    <w:basedOn w:val="a0"/>
    <w:uiPriority w:val="99"/>
    <w:semiHidden/>
    <w:rsid w:val="00F1197D"/>
    <w:rPr>
      <w:color w:val="808080"/>
    </w:rPr>
  </w:style>
  <w:style w:type="paragraph" w:styleId="a7">
    <w:name w:val="caption"/>
    <w:basedOn w:val="a"/>
    <w:next w:val="a"/>
    <w:uiPriority w:val="35"/>
    <w:unhideWhenUsed/>
    <w:qFormat/>
    <w:rsid w:val="0076623A"/>
    <w:pPr>
      <w:spacing w:line="240" w:lineRule="auto"/>
    </w:pPr>
    <w:rPr>
      <w:b/>
      <w:bCs/>
      <w:color w:val="4F81BD" w:themeColor="accent1"/>
      <w:sz w:val="18"/>
      <w:szCs w:val="18"/>
    </w:rPr>
  </w:style>
  <w:style w:type="paragraph" w:styleId="a8">
    <w:name w:val="Subtitle"/>
    <w:basedOn w:val="a"/>
    <w:next w:val="a"/>
    <w:link w:val="Char1"/>
    <w:uiPriority w:val="11"/>
    <w:qFormat/>
    <w:rsid w:val="00650A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Υπότιτλος Char"/>
    <w:basedOn w:val="a0"/>
    <w:link w:val="a8"/>
    <w:uiPriority w:val="11"/>
    <w:rsid w:val="00650A69"/>
    <w:rPr>
      <w:rFonts w:asciiTheme="majorHAnsi" w:eastAsiaTheme="majorEastAsia" w:hAnsiTheme="majorHAnsi" w:cstheme="majorBidi"/>
      <w:i/>
      <w:iCs/>
      <w:color w:val="4F81BD" w:themeColor="accent1"/>
      <w:spacing w:val="15"/>
      <w:sz w:val="24"/>
      <w:szCs w:val="24"/>
    </w:rPr>
  </w:style>
  <w:style w:type="character" w:customStyle="1" w:styleId="2Char">
    <w:name w:val="Επικεφαλίδα 2 Char"/>
    <w:basedOn w:val="a0"/>
    <w:link w:val="2"/>
    <w:uiPriority w:val="9"/>
    <w:rsid w:val="00E02283"/>
    <w:rPr>
      <w:rFonts w:asciiTheme="majorHAnsi" w:eastAsiaTheme="majorEastAsia" w:hAnsiTheme="majorHAnsi" w:cstheme="majorBidi"/>
      <w:b/>
      <w:bCs/>
      <w:color w:val="4F81BD" w:themeColor="accent1"/>
      <w:sz w:val="26"/>
      <w:szCs w:val="26"/>
    </w:rPr>
  </w:style>
  <w:style w:type="character" w:styleId="a9">
    <w:name w:val="Strong"/>
    <w:basedOn w:val="a0"/>
    <w:uiPriority w:val="22"/>
    <w:qFormat/>
    <w:rsid w:val="00E02283"/>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9107</TotalTime>
  <Pages>3</Pages>
  <Words>686</Words>
  <Characters>3708</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Thanassis</dc:creator>
  <cp:keywords/>
  <dc:description/>
  <cp:lastModifiedBy>Thanassis</cp:lastModifiedBy>
  <cp:revision>20</cp:revision>
  <dcterms:created xsi:type="dcterms:W3CDTF">2018-11-09T18:04:00Z</dcterms:created>
  <dcterms:modified xsi:type="dcterms:W3CDTF">2018-11-16T18:35:00Z</dcterms:modified>
</cp:coreProperties>
</file>