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Cabinet Delacroix &amp; Associés</w:t>
      </w:r>
    </w:p>
    <w:p>
      <w:r>
        <w:rPr>
          <w:rFonts w:ascii="Times New Roman" w:hAnsi="Times New Roman"/>
          <w:i/>
          <w:sz w:val="20"/>
        </w:rPr>
        <w:t>Avocats au Barreau de Marseille</w:t>
      </w:r>
    </w:p>
    <w:p>
      <w:r>
        <w:rPr>
          <w:rFonts w:ascii="Times New Roman" w:hAnsi="Times New Roman"/>
          <w:sz w:val="20"/>
        </w:rPr>
        <w:t>27, Boulevard de la Canebière</w:t>
        <w:br/>
        <w:t>13001 Marseille</w:t>
        <w:br/>
        <w:t>Tél. : 04 91 XX XX XX</w:t>
        <w:br/>
        <w:t>Fax : 04 91 XX XX XX</w:t>
        <w:br/>
        <w:t>courriel : s.delacroix@cabinet-delacroix.fr</w:t>
      </w:r>
    </w:p>
    <w:p/>
    <w:p>
      <w:r>
        <w:rPr>
          <w:rFonts w:ascii="Times New Roman" w:hAnsi="Times New Roman"/>
          <w:sz w:val="22"/>
        </w:rPr>
        <w:t>Marseille, le 29 mars 2026</w:t>
      </w:r>
    </w:p>
    <w:p/>
    <w:p>
      <w:r>
        <w:rPr>
          <w:rFonts w:ascii="Times New Roman" w:hAnsi="Times New Roman"/>
          <w:sz w:val="22"/>
        </w:rPr>
        <w:t>SARL Bâtiment Pro</w:t>
        <w:br/>
        <w:t>À l'attention de M. Jean-Pierre Moreau, Gérant</w:t>
        <w:br/>
        <w:t>15, Zone Industrielle des Arnavaux</w:t>
        <w:br/>
        <w:t>13014 Marseille</w:t>
      </w:r>
    </w:p>
    <w:p/>
    <w:p>
      <w:r>
        <w:rPr>
          <w:rFonts w:ascii="Times New Roman" w:hAnsi="Times New Roman"/>
          <w:b/>
          <w:i/>
          <w:sz w:val="20"/>
        </w:rPr>
        <w:t>Lettre recommandée avec accusé de réception n° 1A 234 567 890 0</w:t>
      </w:r>
    </w:p>
    <w:p/>
    <w:p>
      <w:r>
        <w:rPr>
          <w:rFonts w:ascii="Times New Roman" w:hAnsi="Times New Roman"/>
          <w:b/>
          <w:sz w:val="22"/>
        </w:rPr>
        <w:t>Objet : MISE EN DEMEURE — Malfaçons et inexécution contractuelle — Chantier de rénovation, 42 rue des Accoules, 13002 Marseille</w:t>
      </w:r>
    </w:p>
    <w:p>
      <w:r>
        <w:rPr>
          <w:rFonts w:ascii="Times New Roman" w:hAnsi="Times New Roman"/>
          <w:i/>
          <w:sz w:val="20"/>
        </w:rPr>
        <w:t>Réf. dossier : 2026/0342-SCI/BP</w:t>
      </w:r>
    </w:p>
    <w:p/>
    <w:p>
      <w:r>
        <w:rPr>
          <w:rFonts w:ascii="Times New Roman" w:hAnsi="Times New Roman"/>
          <w:sz w:val="22"/>
        </w:rPr>
        <w:t>Monsieur le Gérant,</w:t>
      </w:r>
    </w:p>
    <w:p>
      <w:r>
        <w:rPr>
          <w:rFonts w:ascii="Times New Roman" w:hAnsi="Times New Roman"/>
          <w:sz w:val="22"/>
        </w:rPr>
        <w:t>J'interviens en qualité de conseil de la SCI Les Oliviers (RCS Marseille 987 654 321), propriétaire de l'immeuble sis 42, rue des Accoules, 13002 Marseille (ci-après « le Maître d'ouvrage »).</w:t>
      </w:r>
    </w:p>
    <w:p>
      <w:r>
        <w:rPr>
          <w:rFonts w:ascii="Times New Roman" w:hAnsi="Times New Roman"/>
          <w:sz w:val="22"/>
        </w:rPr>
        <w:t xml:space="preserve">Par la présente, et conformément aux dispositions des articles 1231-1 et suivants du Code civil</w:t>
      </w:r>
      <w:r>
        <w:rPr>
          <w:rStyle w:val="FootnoteReference"/>
        </w:rPr>
        <w:footnoteReference w:id="2"/>
      </w:r>
      <w:r>
        <w:rPr>
          <w:rFonts w:ascii="Times New Roman" w:hAnsi="Times New Roman"/>
          <w:sz w:val="22"/>
        </w:rPr>
        <w:t xml:space="preserve">, je vous mets en demeure de remédier aux manquements contractuels détaillés ci-dessous, dans un délai de quinze (15) jours à compter de la réception de la présente.</w:t>
      </w:r>
    </w:p>
    <w:p>
      <w:pPr>
        <w:pStyle w:val="Heading2"/>
      </w:pPr>
      <w:r>
        <w:rPr>
          <w:rFonts w:ascii="Times New Roman" w:hAnsi="Times New Roman"/>
          <w:sz w:val="24"/>
        </w:rPr>
        <w:t>I. Rappel des faits</w:t>
      </w:r>
    </w:p>
    <w:p>
      <w:r>
        <w:rPr>
          <w:rFonts w:ascii="Times New Roman" w:hAnsi="Times New Roman"/>
          <w:sz w:val="22"/>
        </w:rPr>
        <w:t>Le 15 septembre 2025, la SCI Les Oliviers a conclu avec votre société un marché de travaux portant sur la rénovation complète du bâtiment susvisé, pour un montant forfaitaire de 187 500,00 € HT (soit 225 000,00 € TTC), selon devis n° DV-2025-0891 accepté le 12 septembre 2025.</w:t>
      </w:r>
    </w:p>
    <w:p>
      <w:r>
        <w:rPr>
          <w:rFonts w:ascii="Times New Roman" w:hAnsi="Times New Roman"/>
          <w:sz w:val="22"/>
        </w:rPr>
        <w:t>Les travaux devaient s'achever au plus tard le 28 février 2026. À ce jour, le chantier accuse un retard de plus de quatre (4) semaines et présente de nombreuses malfaçons constatées par huissier de justice (procès-verbal de constat de Me Laurent, en date du 20 mars 2026).</w:t>
      </w:r>
    </w:p>
    <w:p>
      <w:pPr>
        <w:pStyle w:val="Heading2"/>
      </w:pPr>
      <w:r>
        <w:rPr>
          <w:rFonts w:ascii="Times New Roman" w:hAnsi="Times New Roman"/>
          <w:sz w:val="24"/>
        </w:rPr>
        <w:t>II. Désordres constatés</w:t>
      </w:r>
    </w:p>
    <w:p>
      <w:r>
        <w:rPr>
          <w:rFonts w:ascii="Times New Roman" w:hAnsi="Times New Roman"/>
          <w:sz w:val="22"/>
        </w:rPr>
        <w:t>Le procès-verbal de constat établit les désordres suivants :</w:t>
      </w:r>
    </w:p>
    <w:p>
      <w:pPr>
        <w:pStyle w:val="ListParagraph"/>
        <w:numPr>
          <w:ilvl w:val="0"/>
          <w:numId w:val="10"/>
        </w:numPr>
      </w:pPr>
      <w:r>
        <w:t>Fissures traversantes sur le mur porteur nord (RDC), compromettant la stabilité structurelle du bâtiment ;</w:t>
      </w:r>
    </w:p>
    <w:p>
      <w:pPr>
        <w:pStyle w:val="ListParagraph"/>
        <w:numPr>
          <w:ilvl w:val="0"/>
          <w:numId w:val="10"/>
        </w:numPr>
      </w:pPr>
      <w:r>
        <w:t>Défaut d'étanchéité de la toiture-terrasse (lot étanchéité), entraînant des infiltrations d'eau dans les appartements T3 et T4 du dernier étage ;</w:t>
      </w:r>
    </w:p>
    <w:p>
      <w:pPr>
        <w:pStyle w:val="ListParagraph"/>
        <w:numPr>
          <w:ilvl w:val="0"/>
          <w:numId w:val="10"/>
        </w:numPr>
      </w:pPr>
      <w:r>
        <w:t>Non-conformité de l'installation électrique aux normes NF C 15-100, constatée par le bureau de contrôle APAVE (rapport n° RC-2026-1847 du 18 mars 2026) ;</w:t>
      </w:r>
    </w:p>
    <w:p>
      <w:pPr>
        <w:pStyle w:val="ListParagraph"/>
        <w:numPr>
          <w:ilvl w:val="0"/>
          <w:numId w:val="10"/>
        </w:numPr>
      </w:pPr>
      <w:r>
        <w:t>Absence de pose des menuiseries extérieures (lot 5 du marché), malgré un acompte de 35 000,00 € déjà versé à cette fin ;</w:t>
      </w:r>
    </w:p>
    <w:p>
      <w:pPr>
        <w:pStyle w:val="ListParagraph"/>
        <w:numPr>
          <w:ilvl w:val="0"/>
          <w:numId w:val="10"/>
        </w:numPr>
      </w:pPr>
      <w:r>
        <w:t>Défauts de planité des chapes (tolérance DTU 26.2 non respectée) dans l'ensemble des pièces du 1er étage.</w:t>
      </w:r>
    </w:p>
    <w:p>
      <w:pPr>
        <w:pStyle w:val="Heading2"/>
      </w:pPr>
      <w:r>
        <w:rPr>
          <w:rFonts w:ascii="Times New Roman" w:hAnsi="Times New Roman"/>
          <w:sz w:val="24"/>
        </w:rPr>
        <w:t>III. Préjudice financier</w:t>
      </w:r>
    </w:p>
    <w:p>
      <w:r>
        <w:rPr>
          <w:rFonts w:ascii="Times New Roman" w:hAnsi="Times New Roman"/>
          <w:sz w:val="22"/>
        </w:rPr>
        <w:t>Le tableau ci-dessous synthétise le préjudice subi par ma cliente à ce jour :</w:t>
      </w:r>
    </w:p>
    <w:tbl>
      <w:tblPr>
        <w:tblStyle w:val="TableGrid"/>
        <w:tblW w:type="auto" w:w="0"/>
        <w:tblLook w:firstColumn="1" w:firstRow="1" w:lastColumn="0" w:lastRow="0" w:noHBand="0" w:noVBand="1" w:val="04A0"/>
      </w:tblPr>
      <w:tblGrid>
        <w:gridCol w:w="2880"/>
        <w:gridCol w:w="2880"/>
        <w:gridCol w:w="2880"/>
      </w:tblGrid>
      <w:tr>
        <w:tc>
          <w:tcPr>
            <w:tcW w:type="dxa" w:w="2880"/>
            <w:shd w:fill="1F3864" w:val="clear"/>
            <w:shd w:fill="FFFFFF" w:val="clear"/>
          </w:tcPr>
          <w:p>
            <w:r>
              <w:rPr>
                <w:b/>
                <w:color w:val="FFFFFF"/>
              </w:rPr>
              <w:t>Poste de préjudice</w:t>
            </w:r>
          </w:p>
        </w:tc>
        <w:tc>
          <w:tcPr>
            <w:tcW w:type="dxa" w:w="2880"/>
            <w:shd w:fill="1F3864" w:val="clear"/>
            <w:shd w:fill="FFFFFF" w:val="clear"/>
          </w:tcPr>
          <w:p>
            <w:r>
              <w:rPr>
                <w:b/>
                <w:color w:val="FFFFFF"/>
              </w:rPr>
              <w:t>Base de calcul</w:t>
            </w:r>
          </w:p>
        </w:tc>
        <w:tc>
          <w:tcPr>
            <w:tcW w:type="dxa" w:w="2880"/>
            <w:shd w:fill="1F3864" w:val="clear"/>
            <w:shd w:fill="FFFFFF" w:val="clear"/>
          </w:tcPr>
          <w:p>
            <w:r>
              <w:rPr>
                <w:b/>
                <w:color w:val="FFFFFF"/>
              </w:rPr>
              <w:t>Montant (€ HT)</w:t>
            </w:r>
          </w:p>
        </w:tc>
      </w:tr>
      <w:tr>
        <w:tc>
          <w:tcPr>
            <w:tcW w:type="dxa" w:w="2880"/>
            <w:shd w:fill="D6E4F0" w:val="clear"/>
          </w:tcPr>
          <w:p>
            <w:r>
              <w:t>Coût de reprise des malfaçons</w:t>
            </w:r>
          </w:p>
        </w:tc>
        <w:tc>
          <w:tcPr>
            <w:tcW w:type="dxa" w:w="2880"/>
            <w:shd w:fill="D6E4F0" w:val="clear"/>
          </w:tcPr>
          <w:p>
            <w:r>
              <w:t>Devis SARL RénoSud n° RS-2026-447</w:t>
            </w:r>
          </w:p>
        </w:tc>
        <w:tc>
          <w:tcPr>
            <w:tcW w:type="dxa" w:w="2880"/>
            <w:shd w:fill="D6E4F0" w:val="clear"/>
          </w:tcPr>
          <w:p>
            <w:r>
              <w:t>42 800,00</w:t>
            </w:r>
          </w:p>
        </w:tc>
      </w:tr>
      <w:tr>
        <w:tc>
          <w:tcPr>
            <w:tcW w:type="dxa" w:w="2880"/>
            <w:shd w:fill="FFFFFF" w:val="clear"/>
          </w:tcPr>
          <w:p>
            <w:r>
              <w:t>Pénalités de retard contractuelles</w:t>
            </w:r>
          </w:p>
        </w:tc>
        <w:tc>
          <w:tcPr>
            <w:tcW w:type="dxa" w:w="2880"/>
            <w:shd w:fill="FFFFFF" w:val="clear"/>
          </w:tcPr>
          <w:p>
            <w:r>
              <w:t>0,5% par jour × 28 jours (art. 8.2 marché)</w:t>
            </w:r>
          </w:p>
        </w:tc>
        <w:tc>
          <w:tcPr>
            <w:tcW w:type="dxa" w:w="2880"/>
            <w:shd w:fill="FFFFFF" w:val="clear"/>
          </w:tcPr>
          <w:p>
            <w:r>
              <w:t>26 250,00</w:t>
            </w:r>
          </w:p>
        </w:tc>
      </w:tr>
      <w:tr>
        <w:tc>
          <w:tcPr>
            <w:tcW w:type="dxa" w:w="2880"/>
            <w:shd w:fill="D6E4F0" w:val="clear"/>
          </w:tcPr>
          <w:p>
            <w:r>
              <w:t>Préjudice locatif (manque à gagner)</w:t>
            </w:r>
          </w:p>
        </w:tc>
        <w:tc>
          <w:tcPr>
            <w:tcW w:type="dxa" w:w="2880"/>
            <w:shd w:fill="D6E4F0" w:val="clear"/>
          </w:tcPr>
          <w:p>
            <w:r>
              <w:t>4 loyers T3+T4 × 1 200 €</w:t>
            </w:r>
          </w:p>
        </w:tc>
        <w:tc>
          <w:tcPr>
            <w:tcW w:type="dxa" w:w="2880"/>
            <w:shd w:fill="D6E4F0" w:val="clear"/>
          </w:tcPr>
          <w:p>
            <w:r>
              <w:t>4 800,00</w:t>
            </w:r>
          </w:p>
        </w:tc>
      </w:tr>
      <w:tr>
        <w:tc>
          <w:tcPr>
            <w:tcW w:type="dxa" w:w="2880"/>
            <w:shd w:fill="FFFFFF" w:val="clear"/>
          </w:tcPr>
          <w:p>
            <w:r>
              <w:t>Frais d'hébergement locataires</w:t>
            </w:r>
          </w:p>
        </w:tc>
        <w:tc>
          <w:tcPr>
            <w:tcW w:type="dxa" w:w="2880"/>
            <w:shd w:fill="FFFFFF" w:val="clear"/>
          </w:tcPr>
          <w:p>
            <w:r>
              <w:t>Hôtel + indemnités (pièces 14-17)</w:t>
            </w:r>
          </w:p>
        </w:tc>
        <w:tc>
          <w:tcPr>
            <w:tcW w:type="dxa" w:w="2880"/>
            <w:shd w:fill="FFFFFF" w:val="clear"/>
          </w:tcPr>
          <w:p>
            <w:r>
              <w:t>3 650,00</w:t>
            </w:r>
          </w:p>
        </w:tc>
      </w:tr>
      <w:tr>
        <w:tc>
          <w:tcPr>
            <w:tcW w:type="dxa" w:w="2880"/>
            <w:shd w:fill="D6E4F0" w:val="clear"/>
          </w:tcPr>
          <w:p>
            <w:r>
              <w:t>Frais de constat d'huissier</w:t>
            </w:r>
          </w:p>
        </w:tc>
        <w:tc>
          <w:tcPr>
            <w:tcW w:type="dxa" w:w="2880"/>
            <w:shd w:fill="D6E4F0" w:val="clear"/>
          </w:tcPr>
          <w:p>
            <w:r>
              <w:t>PV Me Laurent du 20/03/2026</w:t>
            </w:r>
          </w:p>
        </w:tc>
        <w:tc>
          <w:tcPr>
            <w:tcW w:type="dxa" w:w="2880"/>
            <w:shd w:fill="D6E4F0" w:val="clear"/>
          </w:tcPr>
          <w:p>
            <w:r>
              <w:t>890,00</w:t>
            </w:r>
          </w:p>
        </w:tc>
      </w:tr>
      <w:tr>
        <w:tc>
          <w:tcPr>
            <w:tcW w:type="dxa" w:w="2880"/>
            <w:shd w:fill="FFFFFF" w:val="clear"/>
            <w:shd w:fill="1F3864" w:val="clear"/>
          </w:tcPr>
          <w:p>
            <w:r>
              <w:rPr>
                <w:rFonts w:ascii="Times New Roman" w:hAnsi="Times New Roman"/>
                <w:b/>
                <w:color w:val="FFFFFF"/>
                <w:sz w:val="22"/>
              </w:rPr>
              <w:t>TOTAL</w:t>
            </w:r>
          </w:p>
        </w:tc>
        <w:tc>
          <w:tcPr>
            <w:tcW w:type="dxa" w:w="2880"/>
            <w:shd w:fill="FFFFFF" w:val="clear"/>
            <w:shd w:fill="1F3864" w:val="clear"/>
          </w:tcPr>
          <w:p>
            <w:r/>
          </w:p>
        </w:tc>
        <w:tc>
          <w:tcPr>
            <w:tcW w:type="dxa" w:w="2880"/>
            <w:shd w:fill="FFFFFF" w:val="clear"/>
            <w:shd w:fill="1F3864" w:val="clear"/>
          </w:tcPr>
          <w:p>
            <w:r>
              <w:rPr>
                <w:rFonts w:ascii="Times New Roman" w:hAnsi="Times New Roman"/>
                <w:b/>
                <w:color w:val="FFFFFF"/>
                <w:sz w:val="22"/>
              </w:rPr>
              <w:t>78 390,00</w:t>
            </w:r>
          </w:p>
        </w:tc>
      </w:tr>
    </w:tbl>
    <w:p>
      <w:pPr>
        <w:pStyle w:val="Heading2"/>
      </w:pPr>
      <w:r>
        <w:rPr>
          <w:rFonts w:ascii="Times New Roman" w:hAnsi="Times New Roman"/>
          <w:sz w:val="24"/>
        </w:rPr>
        <w:t>IV. Fondements juridiques</w:t>
      </w:r>
    </w:p>
    <w:p>
      <w:r>
        <w:rPr>
          <w:rFonts w:ascii="Times New Roman" w:hAnsi="Times New Roman"/>
          <w:sz w:val="22"/>
        </w:rPr>
        <w:t>Votre responsabilité contractuelle est engagée sur les fondements suivants :</w:t>
      </w:r>
    </w:p>
    <w:p>
      <w:pPr>
        <w:pStyle w:val="ListParagraph"/>
        <w:numPr>
          <w:ilvl w:val="0"/>
          <w:numId w:val="11"/>
        </w:numPr>
      </w:pPr>
      <w:r>
        <w:t>Article 1231-1 du Code civil : droit à réparation du préjudice causé par l'inexécution d'une obligation contractuelle ;</w:t>
      </w:r>
    </w:p>
    <w:p>
      <w:pPr>
        <w:pStyle w:val="ListParagraph"/>
        <w:numPr>
          <w:ilvl w:val="0"/>
          <w:numId w:val="11"/>
        </w:numPr>
      </w:pPr>
      <w:r>
        <w:t xml:space="preserve">Article 1792 du Code civil : responsabilité décennale du constructeur</w:t>
      </w:r>
      <w:r>
        <w:rPr>
          <w:rStyle w:val="FootnoteReference"/>
        </w:rPr>
        <w:footnoteReference w:id="3"/>
      </w:r>
      <w:r>
        <w:t xml:space="preserve"> pour les désordres affectant la solidité de l'ouvrage (fissures du mur porteur) ;</w:t>
      </w:r>
    </w:p>
    <w:p>
      <w:pPr>
        <w:pStyle w:val="ListParagraph"/>
        <w:numPr>
          <w:ilvl w:val="0"/>
          <w:numId w:val="11"/>
        </w:numPr>
      </w:pPr>
      <w:r>
        <w:t>Article 1792-6 du Code civil : obligation de parfait achèvement dans le délai d'un an suivant la réception ;</w:t>
      </w:r>
    </w:p>
    <w:p>
      <w:pPr>
        <w:pStyle w:val="ListParagraph"/>
        <w:numPr>
          <w:ilvl w:val="0"/>
          <w:numId w:val="11"/>
        </w:numPr>
      </w:pPr>
      <w:r>
        <w:t>Articles 8.2 et 12.1 du marché de travaux : pénalités de retard et conditions de résiliation.</w:t>
      </w:r>
    </w:p>
    <w:p>
      <w:pPr>
        <w:pStyle w:val="Heading2"/>
      </w:pPr>
      <w:r>
        <w:rPr>
          <w:rFonts w:ascii="Times New Roman" w:hAnsi="Times New Roman"/>
          <w:sz w:val="24"/>
        </w:rPr>
        <w:t>V. Sommations</w:t>
      </w:r>
    </w:p>
    <w:p>
      <w:r>
        <w:rPr>
          <w:rFonts w:ascii="Times New Roman" w:hAnsi="Times New Roman"/>
          <w:sz w:val="22"/>
        </w:rPr>
        <w:t>En conséquence, je vous somme, dans le délai imparti de quinze (15) jours à compter de la réception des présentes, de :</w:t>
      </w:r>
    </w:p>
    <w:p>
      <w:pPr>
        <w:pStyle w:val="ListParagraph"/>
        <w:numPr>
          <w:ilvl w:val="0"/>
          <w:numId w:val="12"/>
        </w:numPr>
      </w:pPr>
      <w:r>
        <w:t>Reprendre l'intégralité des malfaçons listées au point II ci-dessus, conformément aux règles de l'art et aux normes DTU applicables ;</w:t>
      </w:r>
    </w:p>
    <w:p>
      <w:pPr>
        <w:pStyle w:val="ListParagraph"/>
        <w:numPr>
          <w:ilvl w:val="0"/>
          <w:numId w:val="12"/>
        </w:numPr>
      </w:pPr>
      <w:r>
        <w:t>Poser les menuiseries extérieures (lot 5) déjà réglées par acompte ;</w:t>
      </w:r>
    </w:p>
    <w:p>
      <w:pPr>
        <w:pStyle w:val="ListParagraph"/>
        <w:numPr>
          <w:ilvl w:val="0"/>
          <w:numId w:val="12"/>
        </w:numPr>
      </w:pPr>
      <w:r>
        <w:t>Communiquer un planning de reprise détaillé avec engagement ferme sur la date de livraison ;</w:t>
      </w:r>
    </w:p>
    <w:p>
      <w:pPr>
        <w:pStyle w:val="ListParagraph"/>
        <w:numPr>
          <w:ilvl w:val="0"/>
          <w:numId w:val="12"/>
        </w:numPr>
      </w:pPr>
      <w:r>
        <w:t>Régler la somme de 78 390,00 € HT au titre des préjudices déjà subis par ma cliente.</w:t>
      </w:r>
    </w:p>
    <w:p>
      <w:r>
        <w:rPr>
          <w:rFonts w:ascii="Times New Roman" w:hAnsi="Times New Roman"/>
          <w:sz w:val="22"/>
        </w:rPr>
        <w:t>À défaut d'exécution dans le délai imparti, ma cliente se réserve le droit de saisir le Tribunal judiciaire de Marseille aux fins d'obtenir la résolution judiciaire du marché, la condamnation au paiement des sommes dues, ainsi que l'allocation de dommages et intérêts complémentaires, le tout assorti de l'exécution provisoire.</w:t>
      </w:r>
    </w:p>
    <w:p>
      <w:r>
        <w:rPr>
          <w:rFonts w:ascii="Times New Roman" w:hAnsi="Times New Roman"/>
          <w:b/>
          <w:sz w:val="22"/>
        </w:rPr>
        <w:t>La présente vaut mise en demeure au sens de l'article 1344 du Code civil.</w:t>
      </w:r>
    </w:p>
    <w:p/>
    <w:p>
      <w:r>
        <w:rPr>
          <w:rFonts w:ascii="Times New Roman" w:hAnsi="Times New Roman"/>
          <w:sz w:val="22"/>
        </w:rPr>
        <w:t>Veuillez agréer, Monsieur le Gérant, l'expression de mes salutations distinguées.</w:t>
      </w:r>
    </w:p>
    <w:p/>
    <w:p>
      <w:r>
        <w:rPr>
          <w:rFonts w:ascii="Times New Roman" w:hAnsi="Times New Roman"/>
          <w:b/>
          <w:sz w:val="22"/>
        </w:rPr>
        <w:t>Maître Sophie Delacroix</w:t>
      </w:r>
    </w:p>
    <w:p>
      <w:r>
        <w:rPr>
          <w:rFonts w:ascii="Times New Roman" w:hAnsi="Times New Roman"/>
          <w:i/>
          <w:sz w:val="20"/>
        </w:rPr>
        <w:t>Avocat au Barreau de Marseille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w:pPr>
        <w:pStyle w:val="FootnoteText"/>
      </w:pPr>
      <w:r>
        <w:rPr>
          <w:rStyle w:val="FootnoteReference"/>
        </w:rPr>
        <w:footnoteRef/>
      </w:r>
      <w:r>
        <w:t xml:space="preserve"> </w:t>
      </w:r>
      <w:r>
        <w:t>Cass. civ. 3ème, 15 janvier 2020, n° 18-22.670 : le créancier d'une obligation contractuelle peut, après mise en demeure, obtenir des dommages et intérêts complémentaires aux pénalités contractuelles lorsque celles-ci ne couvrent pas l'intégralité du préjudice subi.</w:t>
      </w:r>
    </w:p>
  </w:footnote>
  <w:footnote w:id="3">
    <w:p>
      <w:pPr>
        <w:pStyle w:val="FootnoteText"/>
      </w:pPr>
      <w:r>
        <w:rPr>
          <w:rStyle w:val="FootnoteReference"/>
        </w:rPr>
        <w:footnoteRef/>
      </w:r>
      <w:r>
        <w:t xml:space="preserve"> </w:t>
      </w:r>
      <w:r>
        <w:t>Cass. civ. 3ème, 26 novembre 2003, n° 02-15.140 : les fissures traversantes affectant un mur porteur constituent un désordre de nature décennale au sens de l'article 1792 du Code civil.</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8"/>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rPr>
      <w:vertAlign w:val="superscript"/>
    </w:rPr>
  </w:style>
  <w:style w:type="paragraph" w:styleId="FootnoteText">
    <w:name w:val="footnote text"/>
    <w:basedOn w:val="Normal"/>
    <w:pPr>
      <w:sz w:val="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Demeure - SCI Les Oliviers c/ SARL Bâtiment Pro</dc:title>
  <dc:subject/>
  <dc:creator>Maître Sophie Delacroix</dc:creator>
  <cp:keywords/>
  <dc:description>generated by python-docx</dc:description>
  <cp:lastModifiedBy/>
  <cp:revision>1</cp:revision>
  <dcterms:created xsi:type="dcterms:W3CDTF">2013-12-23T23:15:00Z</dcterms:created>
  <dcterms:modified xsi:type="dcterms:W3CDTF">2013-12-23T23:15:00Z</dcterms:modified>
  <cp:category/>
</cp:coreProperties>
</file>