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ÉTUDE BONVIN, ROCHAT &amp; ASSOCIÉS</w:t>
      </w:r>
    </w:p>
    <w:p>
      <w:r>
        <w:rPr>
          <w:rFonts w:ascii="Times New Roman" w:hAnsi="Times New Roman"/>
          <w:i/>
          <w:sz w:val="22"/>
        </w:rPr>
        <w:t>Avocats au barreau vaudois</w:t>
      </w:r>
    </w:p>
    <w:p>
      <w:r>
        <w:rPr>
          <w:rFonts w:ascii="Times New Roman" w:hAnsi="Times New Roman"/>
          <w:color w:val="666666"/>
          <w:sz w:val="18"/>
        </w:rPr>
        <w:t>Place Saint-François 12 – Case postale 1847 – 1003 Lausanne</w:t>
        <w:br/>
        <w:t>Tél. +41 21 312 45 67 – Fax +41 21 312 45 68</w:t>
        <w:br/>
        <w:t>etude@bonvin-rochat.ch – www.bonvin-rochat.ch</w:t>
      </w:r>
    </w:p>
    <w:p/>
    <w:p>
      <w:r>
        <w:rPr>
          <w:rFonts w:ascii="Times New Roman" w:hAnsi="Times New Roman"/>
          <w:sz w:val="22"/>
        </w:rPr>
        <w:t>Tribunal cantonal du canton de Vaud</w:t>
        <w:br/>
        <w:t>Cour civile</w:t>
        <w:br/>
        <w:t>Route du Signal 8</w:t>
        <w:br/>
        <w:t>1014 Lausanne</w:t>
      </w:r>
    </w:p>
    <w:p/>
    <w:p>
      <w:r>
        <w:rPr>
          <w:rFonts w:ascii="Times New Roman" w:hAnsi="Times New Roman"/>
          <w:sz w:val="22"/>
        </w:rPr>
        <w:t>Lausanne, le 29 mars 2026</w:t>
      </w:r>
    </w:p>
    <w:p/>
    <w:p>
      <w:r>
        <w:rPr>
          <w:rFonts w:ascii="Times New Roman" w:hAnsi="Times New Roman"/>
          <w:sz w:val="22"/>
        </w:rPr>
        <w:t>Réf. : Me C. Bonvin / SL / TC/2026/01234</w:t>
      </w:r>
    </w:p>
    <w:p>
      <w:r>
        <w:rPr>
          <w:rFonts w:ascii="Times New Roman" w:hAnsi="Times New Roman"/>
          <w:sz w:val="22"/>
        </w:rPr>
        <w:t>V/Réf. : Me P. Dumont / jlm</w:t>
      </w:r>
    </w:p>
    <w:p/>
    <w:p>
      <w:r>
        <w:rPr>
          <w:rFonts w:ascii="Times New Roman" w:hAnsi="Times New Roman"/>
          <w:b/>
          <w:sz w:val="22"/>
        </w:rPr>
        <w:t>Concerne : Affaire Construction Perrin SA c/ Consortium Berthoud-Magnin – Défauts de construction – Villa individuelle, chemin des Vignes 14, 1095 Lutry</w:t>
      </w:r>
    </w:p>
    <w:p/>
    <w:p>
      <w:r>
        <w:rPr>
          <w:rFonts w:ascii="Times New Roman" w:hAnsi="Times New Roman"/>
          <w:sz w:val="22"/>
        </w:rPr>
        <w:t>Monsieur le Président, Mesdames et Messieurs les Juges,</w:t>
      </w:r>
    </w:p>
    <w:p/>
    <w:p>
      <w:r>
        <w:rPr>
          <w:rFonts w:ascii="Times New Roman" w:hAnsi="Times New Roman"/>
          <w:sz w:val="22"/>
        </w:rPr>
        <w:t xml:space="preserve">Agissant en qualité de mandataire de </w:t>
      </w:r>
      <w:r>
        <w:rPr>
          <w:rFonts w:ascii="Times New Roman" w:hAnsi="Times New Roman"/>
          <w:i/>
          <w:sz w:val="22"/>
        </w:rPr>
        <w:t>Construction Perrin SA</w:t>
      </w:r>
      <w:r>
        <w:rPr>
          <w:rFonts w:ascii="Times New Roman" w:hAnsi="Times New Roman"/>
          <w:sz w:val="22"/>
        </w:rPr>
        <w:t>, société anonyme inscrite au registre du commerce du canton de Vaud (CHE-123.456.789), dont le siège est à Lausanne, ci-après la « demanderesse », nous avons l’honneur de vous adresser les présentes déterminations dans le cadre de la procédure susmentionnée.</w:t>
      </w:r>
    </w:p>
    <w:p>
      <w:pPr>
        <w:pStyle w:val="Heading2"/>
        <w:pBdr>
          <w:bottom w:val="single" w:sz="6" w:space="1" w:color="auto"/>
        </w:pBdr>
      </w:pPr>
      <w:commentRangeStart w:id="0"/>
      <w:r>
        <w:t>I. Rappel des faits</w:t>
      </w:r>
      <w:commentRangeEnd w:id="0"/>
      <w:r>
        <w:rPr>
          <w:rStyle w:val="CommentReference"/>
        </w:rPr>
        <w:commentReference w:id="0"/>
      </w:r>
    </w:p>
    <w:p>
      <w:r>
        <w:rPr>
          <w:rFonts w:ascii="Times New Roman" w:hAnsi="Times New Roman"/>
          <w:sz w:val="22"/>
        </w:rPr>
        <w:t xml:space="preserve">Par contrat d’entreprise générale du 15 janvier 2024, la demanderesse a confié au Consortium Berthoud-Magnin, ci-après les « défendeurs », la réalisation complète de sa villa individuelle sise au chemin des Vignes 14 à Lutry, sur la parcelle n° 2847 du cadastre de la commune de Lutry, pour un prix forfaitaire de </w:t>
      </w:r>
      <w:r>
        <w:rPr>
          <w:rFonts w:ascii="Times New Roman" w:hAnsi="Times New Roman"/>
          <w:b/>
          <w:sz w:val="22"/>
        </w:rPr>
        <w:t>CHF 1’850’000.–</w:t>
      </w:r>
      <w:r>
        <w:rPr>
          <w:rFonts w:ascii="Times New Roman" w:hAnsi="Times New Roman"/>
          <w:sz w:val="22"/>
        </w:rPr>
        <w:t>.</w:t>
      </w:r>
    </w:p>
    <w:p>
      <w:r>
        <w:rPr>
          <w:rFonts w:ascii="Times New Roman" w:hAnsi="Times New Roman"/>
          <w:sz w:val="22"/>
        </w:rPr>
        <w:t xml:space="preserve">Les travaux ont débuté le 1er mars 2024 et la réception provisoire a eu lieu le 22 novembre 2025. Lors de cette réception, notre mandante a formulé des réserves expressément consignées au procès-verbal de réception (pièce 3), conformes aux exigences de l’art. 367 CO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2"/>
        </w:rPr>
        <w:t xml:space="preserve">.</w:t>
      </w:r>
    </w:p>
    <w:p>
      <w:r>
        <w:rPr>
          <w:rFonts w:ascii="Times New Roman" w:hAnsi="Times New Roman"/>
          <w:sz w:val="22"/>
        </w:rPr>
        <w:t xml:space="preserve">Malgré plusieurs mises en demeure (pièces 5 à 8), les défendeurs n’ont pas procédé à la réfection des défauts constatés. Un rapport d’expertise privée établi le 10 janvier 2026 par M. Jean-Claude Favre, ingénieur civil diplômé EPF et expert SIA</w:t>
      </w:r>
      <w:r>
        <w:rPr>
          <w:rStyle w:val="FootnoteReference"/>
        </w:rPr>
        <w:footnoteReference w:id="3"/>
      </w:r>
      <w:r>
        <w:rPr>
          <w:rFonts w:ascii="Times New Roman" w:hAnsi="Times New Roman"/>
          <w:sz w:val="22"/>
        </w:rPr>
        <w:t xml:space="preserve">, a confirmé la gravité des défauts (pièce 9).</w:t>
      </w:r>
    </w:p>
    <w:p>
      <w:pPr>
        <w:pStyle w:val="Heading2"/>
        <w:pBdr>
          <w:bottom w:val="single" w:sz="6" w:space="1" w:color="auto"/>
        </w:pBdr>
      </w:pPr>
      <w:r>
        <w:t>II. Défauts constatés</w:t>
      </w:r>
    </w:p>
    <w:p>
      <w:r>
        <w:rPr>
          <w:rFonts w:ascii="Times New Roman" w:hAnsi="Times New Roman"/>
          <w:sz w:val="22"/>
        </w:rPr>
        <w:t xml:space="preserve">L’expertise de M. Favre a mis en évidence les défauts suivants, constitutifs de manquements aux règles de l’art au sens de la norme SIA 118</w:t>
      </w:r>
      <w:r>
        <w:rPr>
          <w:rStyle w:val="FootnoteReference"/>
        </w:rPr>
        <w:footnoteReference w:id="4"/>
      </w:r>
      <w:r>
        <w:rPr>
          <w:rFonts w:ascii="Times New Roman" w:hAnsi="Times New Roman"/>
          <w:sz w:val="22"/>
        </w:rPr>
        <w:t xml:space="preserve"> et des règles reconnues de la construction :</w:t>
      </w:r>
    </w:p>
    <w:p>
      <w:pPr>
        <w:pStyle w:val="ListParagraph"/>
        <w:numPr>
          <w:ilvl w:val="0"/>
          <w:numId w:val="10"/>
        </w:numPr>
      </w:pPr>
      <w:r>
        <w:t>Fissures structurelles dans la dalle du rez-de-chaussée, imputables à un ferraillage insuffisant (infraction à la norme SIA 262) ;</w:t>
      </w:r>
    </w:p>
    <w:p>
      <w:pPr>
        <w:pStyle w:val="ListParagraph"/>
        <w:numPr>
          <w:ilvl w:val="0"/>
          <w:numId w:val="10"/>
        </w:numPr>
      </w:pPr>
      <w:r>
        <w:t>Infiltrations d’eau par la toiture plate en raison de l’absence de la seconde couche d’étanchéité prévue au descriptif technique (pièce 2, ch. 4.3.2) ;</w:t>
      </w:r>
    </w:p>
    <w:p>
      <w:pPr>
        <w:pStyle w:val="ListParagraph"/>
        <w:numPr>
          <w:ilvl w:val="0"/>
          <w:numId w:val="10"/>
        </w:numPr>
      </w:pPr>
      <w:r>
        <w:t>Non-conformité de l’installation de chauffage (pompe à chaleur) : puissance de 12 kW installée au lieu des 18 kW contractuellement convenus ;</w:t>
      </w:r>
    </w:p>
    <w:p>
      <w:pPr>
        <w:pStyle w:val="ListParagraph"/>
        <w:numPr>
          <w:ilvl w:val="0"/>
          <w:numId w:val="10"/>
        </w:numPr>
      </w:pPr>
      <w:r>
        <w:t>Défauts d’étanchéité des menuiseries extérieures ne satisfaisant pas aux exigences Minergie prévues au contrat ;</w:t>
      </w:r>
    </w:p>
    <w:p>
      <w:pPr>
        <w:pStyle w:val="ListParagraph"/>
        <w:numPr>
          <w:ilvl w:val="0"/>
          <w:numId w:val="10"/>
        </w:numPr>
      </w:pPr>
      <w:r>
        <w:t>Revêtement de façade présentant des décollements et des défauts de teinte.</w:t>
      </w:r>
    </w:p>
    <w:p>
      <w:pPr>
        <w:pStyle w:val="Heading2"/>
        <w:pBdr>
          <w:bottom w:val="single" w:sz="6" w:space="1" w:color="auto"/>
        </w:pBdr>
      </w:pPr>
      <w:r>
        <w:t>III. Fondements juridiques</w:t>
      </w:r>
    </w:p>
    <w:p>
      <w:r>
        <w:rPr>
          <w:rFonts w:ascii="Times New Roman" w:hAnsi="Times New Roman"/>
          <w:sz w:val="22"/>
        </w:rPr>
        <w:t>La responsabilité des défendeurs est engagée sur la base des art. 363 ss CO, en particulier des art. 368 et 369 CO.</w:t>
      </w:r>
    </w:p>
    <w:p>
      <w:r>
        <w:rPr>
          <w:rFonts w:ascii="Times New Roman" w:hAnsi="Times New Roman"/>
          <w:sz w:val="22"/>
        </w:rPr>
        <w:t xml:space="preserve">Conformément à l’art. 368 al. 2 CO, le maître de l’ouvrage peut exiger la réfection aux frais de l’entrepreneur ou une réduction proportionnelle du prix. Notre mandante opte pour la réfection et, subsidiairement, pour la moins-value (art. 368 al. 2 in fine CO</w:t>
      </w:r>
      <w:r>
        <w:rPr>
          <w:rStyle w:val="FootnoteReference"/>
        </w:rPr>
        <w:footnoteReference w:id="5"/>
      </w:r>
      <w:r>
        <w:rPr>
          <w:rFonts w:ascii="Times New Roman" w:hAnsi="Times New Roman"/>
          <w:sz w:val="22"/>
        </w:rPr>
        <w:t xml:space="preserve">).</w:t>
      </w:r>
    </w:p>
    <w:p>
      <w:r>
        <w:rPr>
          <w:rFonts w:ascii="Times New Roman" w:hAnsi="Times New Roman"/>
          <w:sz w:val="22"/>
        </w:rPr>
        <w:t xml:space="preserve">La solidarité entre les défendeurs découle du contrat de consortium (pièce 10, art. 3) et de l’art. 544 al. 3 CO</w:t>
      </w:r>
      <w:r>
        <w:rPr>
          <w:rStyle w:val="FootnoteReference"/>
        </w:rPr>
        <w:footnoteReference w:id="6"/>
      </w:r>
      <w:r>
        <w:rPr>
          <w:rFonts w:ascii="Times New Roman" w:hAnsi="Times New Roman"/>
          <w:sz w:val="22"/>
        </w:rPr>
        <w:t xml:space="preserve">.</w:t>
      </w:r>
    </w:p>
    <w:p>
      <w:r>
        <w:rPr>
          <w:rFonts w:ascii="Times New Roman" w:hAnsi="Times New Roman"/>
          <w:sz w:val="22"/>
        </w:rPr>
        <w:t xml:space="preserve">S’agissant de la prescription, les défauts ont été signalés dans le délai de l’art. 371 al. 2 CO</w:t>
      </w:r>
      <w:r>
        <w:rPr>
          <w:rStyle w:val="FootnoteReference"/>
        </w:rPr>
        <w:footnoteReference w:id="7"/>
      </w:r>
      <w:r>
        <w:rPr>
          <w:rFonts w:ascii="Times New Roman" w:hAnsi="Times New Roman"/>
          <w:sz w:val="22"/>
        </w:rPr>
        <w:t xml:space="preserve"> (cinq ans pour les immeubles), ce qui n’est au demeurant pas contesté.</w:t>
      </w:r>
    </w:p>
    <w:p>
      <w:pPr>
        <w:pStyle w:val="Heading2"/>
        <w:pBdr>
          <w:bottom w:val="single" w:sz="6" w:space="1" w:color="auto"/>
        </w:pBdr>
      </w:pPr>
      <w:r>
        <w:t>IV. Dommage et prétentions</w:t>
      </w:r>
    </w:p>
    <w:p>
      <w:r>
        <w:rPr>
          <w:rFonts w:ascii="Times New Roman" w:hAnsi="Times New Roman"/>
          <w:sz w:val="22"/>
        </w:rPr>
        <w:t>Le coût de réfection des défauts a été chiffré par l’expert comme suit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  <w:shd w:fill="F0F0F0" w:val="clear"/>
          </w:tcPr>
          <w:p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2880"/>
            <w:shd w:fill="2C3E50" w:val="clear"/>
            <w:shd w:fill="F0F0F0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2C3E50" w:val="clear"/>
            <w:shd w:fill="F0F0F0" w:val="clear"/>
          </w:tcPr>
          <w:p>
            <w:r>
              <w:rPr>
                <w:b/>
                <w:color w:val="FFFFFF"/>
              </w:rPr>
              <w:t>Montant (CHF)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t>1</w:t>
            </w:r>
          </w:p>
        </w:tc>
        <w:tc>
          <w:tcPr>
            <w:tcW w:type="dxa" w:w="2880"/>
            <w:shd w:fill="FFFFFF" w:val="clear"/>
          </w:tcPr>
          <w:p>
            <w:r>
              <w:t>Réfection dalle rez-de-chaussée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jc w:val="right"/>
            </w:pPr>
            <w:r>
              <w:t>145’000.–</w:t>
            </w:r>
          </w:p>
        </w:tc>
      </w:tr>
      <w:tr>
        <w:tc>
          <w:tcPr>
            <w:tcW w:type="dxa" w:w="2880"/>
            <w:shd w:fill="F0F0F0" w:val="clear"/>
          </w:tcPr>
          <w:p>
            <w:r>
              <w:t>2</w:t>
            </w:r>
          </w:p>
        </w:tc>
        <w:tc>
          <w:tcPr>
            <w:tcW w:type="dxa" w:w="2880"/>
            <w:shd w:fill="F0F0F0" w:val="clear"/>
          </w:tcPr>
          <w:p>
            <w:r>
              <w:t>Réfection étanchéité toiture plate</w:t>
            </w:r>
          </w:p>
        </w:tc>
        <w:tc>
          <w:tcPr>
            <w:tcW w:type="dxa" w:w="2880"/>
            <w:shd w:fill="F0F0F0" w:val="clear"/>
            <w:vAlign w:val="top"/>
          </w:tcPr>
          <w:p>
            <w:pPr>
              <w:jc w:val="right"/>
            </w:pPr>
            <w:r>
              <w:t>68’500.–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t>3</w:t>
            </w:r>
          </w:p>
        </w:tc>
        <w:tc>
          <w:tcPr>
            <w:tcW w:type="dxa" w:w="2880"/>
            <w:shd w:fill="FFFFFF" w:val="clear"/>
          </w:tcPr>
          <w:p>
            <w:r>
              <w:t>Remplacement pompe à chaleur (18 kW)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jc w:val="right"/>
            </w:pPr>
            <w:r>
              <w:t>42’000.–</w:t>
            </w:r>
          </w:p>
        </w:tc>
      </w:tr>
      <w:tr>
        <w:tc>
          <w:tcPr>
            <w:tcW w:type="dxa" w:w="2880"/>
            <w:shd w:fill="F0F0F0" w:val="clear"/>
          </w:tcPr>
          <w:p>
            <w:r>
              <w:t>4</w:t>
            </w:r>
          </w:p>
        </w:tc>
        <w:tc>
          <w:tcPr>
            <w:tcW w:type="dxa" w:w="2880"/>
            <w:shd w:fill="F0F0F0" w:val="clear"/>
          </w:tcPr>
          <w:p>
            <w:r>
              <w:t>Remplacement menuiseries (Minergie)</w:t>
            </w:r>
          </w:p>
        </w:tc>
        <w:tc>
          <w:tcPr>
            <w:tcW w:type="dxa" w:w="2880"/>
            <w:shd w:fill="F0F0F0" w:val="clear"/>
            <w:vAlign w:val="top"/>
          </w:tcPr>
          <w:p>
            <w:pPr>
              <w:jc w:val="right"/>
            </w:pPr>
            <w:r>
              <w:t>87’300.–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t>5</w:t>
            </w:r>
          </w:p>
        </w:tc>
        <w:tc>
          <w:tcPr>
            <w:tcW w:type="dxa" w:w="2880"/>
            <w:shd w:fill="FFFFFF" w:val="clear"/>
          </w:tcPr>
          <w:p>
            <w:r>
              <w:t>Réfection façade (enduit et peinture)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jc w:val="right"/>
            </w:pPr>
            <w:r>
              <w:t>35’200.–</w:t>
            </w:r>
          </w:p>
        </w:tc>
      </w:tr>
      <w:tr>
        <w:tc>
          <w:tcPr>
            <w:tcW w:type="dxa" w:w="2880"/>
            <w:shd w:fill="F0F0F0" w:val="clear"/>
          </w:tcPr>
          <w:p>
            <w:r/>
          </w:p>
        </w:tc>
        <w:tc>
          <w:tcPr>
            <w:tcW w:type="dxa" w:w="2880"/>
            <w:shd w:fill="F0F0F0" w:val="clear"/>
          </w:tcPr>
          <w:p>
            <w:r>
              <w:t>Frais d’expertise (M. Favre)</w:t>
            </w:r>
          </w:p>
        </w:tc>
        <w:tc>
          <w:tcPr>
            <w:tcW w:type="dxa" w:w="2880"/>
            <w:shd w:fill="F0F0F0" w:val="clear"/>
            <w:vAlign w:val="top"/>
          </w:tcPr>
          <w:p>
            <w:pPr>
              <w:jc w:val="right"/>
            </w:pPr>
            <w:r>
              <w:t>8’500.–</w:t>
            </w:r>
          </w:p>
        </w:tc>
      </w:tr>
      <w:tr>
        <w:tc>
          <w:tcPr>
            <w:tcW w:type="dxa" w:w="2880"/>
            <w:shd w:fill="FFFFFF" w:val="clear"/>
          </w:tcPr>
          <w:p>
            <w:r/>
          </w:p>
        </w:tc>
        <w:tc>
          <w:tcPr>
            <w:tcW w:type="dxa" w:w="2880"/>
            <w:shd w:fill="FFFFFF" w:val="clear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  <w:shd w:fill="FFFFFF" w:val="clear"/>
            <w:vAlign w:val="top"/>
          </w:tcPr>
          <w:p>
            <w:pPr>
              <w:jc w:val="right"/>
            </w:pPr>
            <w:r>
              <w:rPr>
                <w:b/>
              </w:rPr>
              <w:t>386’500.–</w:t>
            </w:r>
          </w:p>
        </w:tc>
      </w:tr>
    </w:tbl>
    <w:p/>
    <w:p>
      <w:r>
        <w:rPr>
          <w:rFonts w:ascii="Times New Roman" w:hAnsi="Times New Roman"/>
          <w:sz w:val="22"/>
        </w:rPr>
        <w:t>Notre mandante fait en outre valoir des dommages-intérêts complémentaires pour le loyer de remplacement durant la période d’inhabitation forcée (6 mois × CHF 3’200.– = CHF 19’200.–).</w:t>
      </w:r>
    </w:p>
    <w:p>
      <w:pPr>
        <w:pStyle w:val="Heading2"/>
        <w:pBdr>
          <w:bottom w:val="single" w:sz="6" w:space="1" w:color="auto"/>
        </w:pBdr>
      </w:pPr>
      <w:r>
        <w:t>V. Conclusions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Prétention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Montant (CHF)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Intérêts dès</w:t>
            </w:r>
          </w:p>
        </w:tc>
      </w:tr>
      <w:tr>
        <w:tc>
          <w:tcPr>
            <w:tcW w:type="dxa" w:w="2880"/>
          </w:tcPr>
          <w:p>
            <w:r>
              <w:t>Réfection (principal)</w:t>
            </w:r>
          </w:p>
        </w:tc>
        <w:tc>
          <w:tcPr>
            <w:tcW w:type="dxa" w:w="2880"/>
          </w:tcPr>
          <w:p>
            <w:r>
              <w:t>386’500.–</w:t>
            </w:r>
          </w:p>
        </w:tc>
        <w:tc>
          <w:tcPr>
            <w:tcW w:type="dxa" w:w="2880"/>
          </w:tcPr>
          <w:p>
            <w:r>
              <w:t>22.11.2025</w:t>
            </w:r>
          </w:p>
        </w:tc>
      </w:tr>
      <w:tr>
        <w:tc>
          <w:tcPr>
            <w:tcW w:type="dxa" w:w="2880"/>
          </w:tcPr>
          <w:p>
            <w:r>
              <w:t>Loyer de remplacement</w:t>
            </w:r>
          </w:p>
        </w:tc>
        <w:tc>
          <w:tcPr>
            <w:tcW w:type="dxa" w:w="2880"/>
          </w:tcPr>
          <w:p>
            <w:r>
              <w:t>19’200.–</w:t>
            </w:r>
          </w:p>
        </w:tc>
        <w:tc>
          <w:tcPr>
            <w:tcW w:type="dxa" w:w="2880"/>
          </w:tcPr>
          <w:p>
            <w:r>
              <w:t>01.12.2025</w:t>
            </w:r>
          </w:p>
        </w:tc>
      </w:tr>
      <w:tr>
        <w:tc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405’700.–</w:t>
            </w:r>
          </w:p>
        </w:tc>
        <w:tc>
          <w:p>
            <w:r>
              <w:t/>
            </w:r>
          </w:p>
        </w:tc>
      </w:tr>
    </w:tbl>
    <w:p>
      <w:r>
        <w:rPr>
          <w:rFonts w:ascii="Times New Roman" w:hAnsi="Times New Roman"/>
          <w:sz w:val="22"/>
        </w:rPr>
        <w:t>Au vu de ce qui précède, la demanderesse conclut, sous suite de frais et dépens, à ce qu’il plaise au Tribunal :</w:t>
      </w:r>
    </w:p>
    <w:p>
      <w:pPr>
        <w:pStyle w:val="ListParagraph"/>
        <w:numPr>
          <w:ilvl w:val="0"/>
          <w:numId w:val="11"/>
        </w:numPr>
      </w:pPr>
      <w:r>
        <w:t>Principalement : condamner solidairement les défendeurs à procéder à la réfection des défauts dans un délai de 6 mois dès l’entrée en force du jugement, sous la menace de l’art. 292 CP ;</w:t>
      </w:r>
    </w:p>
    <w:p>
      <w:pPr>
        <w:pStyle w:val="ListParagraph"/>
        <w:numPr>
          <w:ilvl w:val="0"/>
          <w:numId w:val="11"/>
        </w:numPr>
      </w:pPr>
      <w:r>
        <w:t>Subsidiairement : condamner solidairement les défendeurs à payer CHF 386’500.–, avec intérêts à 5% dès le 22 novembre 2025, à titre de moins-value ;</w:t>
      </w:r>
    </w:p>
    <w:p>
      <w:pPr>
        <w:pStyle w:val="ListParagraph"/>
        <w:numPr>
          <w:ilvl w:val="0"/>
          <w:numId w:val="11"/>
        </w:numPr>
      </w:pPr>
      <w:r>
        <w:t xml:space="preserve">En tout état de cause : condamner les défendeurs à payer </w:t>
      </w:r>
      <w:r>
        <w:rPr>
          <w:b/>
        </w:rPr>
        <w:t>CHF 19’200.–</w:t>
      </w:r>
      <w:r>
        <w:t>, avec intérêts à 5% dès le 1er décembre 2025, à titre de loyer de remplacement ;</w:t>
      </w:r>
    </w:p>
    <w:p>
      <w:pPr>
        <w:pStyle w:val="ListParagraph"/>
        <w:numPr>
          <w:ilvl w:val="0"/>
          <w:numId w:val="11"/>
        </w:numPr>
      </w:pPr>
      <w:r>
        <w:t>Mettre les frais judiciaires et les dépens à la charge des défendeurs.</w:t>
      </w:r>
    </w:p>
    <w:p/>
    <w:p>
      <w:r>
        <w:rPr>
          <w:rFonts w:ascii="Times New Roman" w:hAnsi="Times New Roman"/>
          <w:sz w:val="22"/>
        </w:rPr>
        <w:t>Nous vous prions de bien vouloir agréer, Monsieur le Président, Mesdames et Messieurs les Juges, l’assurance de notre haute considération.</w:t>
      </w:r>
    </w:p>
    <w:p/>
    <w:p/>
    <w:p>
      <w:r>
        <w:rPr>
          <w:rFonts w:ascii="Times New Roman" w:hAnsi="Times New Roman"/>
          <w:b/>
          <w:sz w:val="22"/>
        </w:rPr>
        <w:t>ÉTUDE BONVIN, ROCHAT &amp; ASSOCIÉS</w:t>
      </w:r>
    </w:p>
    <w:p/>
    <w:p>
      <w:r>
        <w:rPr>
          <w:rFonts w:ascii="Times New Roman" w:hAnsi="Times New Roman"/>
          <w:sz w:val="22"/>
        </w:rPr>
        <w:t>Me Christophe Bonvin</w:t>
      </w:r>
    </w:p>
    <w:p>
      <w:r>
        <w:rPr>
          <w:rFonts w:ascii="Times New Roman" w:hAnsi="Times New Roman"/>
          <w:i/>
          <w:sz w:val="22"/>
        </w:rPr>
        <w:t>Avocat au barreau</w:t>
      </w:r>
    </w:p>
    <w:p/>
    <w:p>
      <w:r>
        <w:rPr>
          <w:rFonts w:ascii="Times New Roman" w:hAnsi="Times New Roman"/>
          <w:b/>
          <w:sz w:val="20"/>
        </w:rPr>
        <w:t>Annexes mentionnées :</w:t>
      </w:r>
    </w:p>
    <w:p>
      <w:pPr>
        <w:pStyle w:val="ListParagraph"/>
        <w:numPr>
          <w:ilvl w:val="0"/>
          <w:numId w:val="12"/>
        </w:numPr>
      </w:pPr>
      <w:r>
        <w:t>Pièce 1 : Contrat d’entreprise générale du 15.01.2024</w:t>
      </w:r>
    </w:p>
    <w:p>
      <w:pPr>
        <w:pStyle w:val="ListParagraph"/>
        <w:numPr>
          <w:ilvl w:val="0"/>
          <w:numId w:val="12"/>
        </w:numPr>
      </w:pPr>
      <w:r>
        <w:t>Pièce 2 : Descriptif technique et plans d’exécution</w:t>
      </w:r>
    </w:p>
    <w:p>
      <w:pPr>
        <w:pStyle w:val="ListParagraph"/>
        <w:numPr>
          <w:ilvl w:val="0"/>
          <w:numId w:val="12"/>
        </w:numPr>
      </w:pPr>
      <w:r>
        <w:t>Pièce 3 : Procès-verbal de réception provisoire du 22.11.2025</w:t>
      </w:r>
    </w:p>
    <w:p>
      <w:pPr>
        <w:pStyle w:val="ListParagraph"/>
        <w:numPr>
          <w:ilvl w:val="0"/>
          <w:numId w:val="12"/>
        </w:numPr>
      </w:pPr>
      <w:r>
        <w:t>Pièces 5–8 : Correspondance de mise en demeure</w:t>
      </w:r>
    </w:p>
    <w:p>
      <w:pPr>
        <w:pStyle w:val="ListParagraph"/>
        <w:numPr>
          <w:ilvl w:val="0"/>
          <w:numId w:val="12"/>
        </w:numPr>
      </w:pPr>
      <w:r>
        <w:t>Pièce 9 : Rapport d’expertise J.-C. Favre du 10.01.2026</w:t>
      </w:r>
    </w:p>
    <w:p>
      <w:pPr>
        <w:pStyle w:val="ListParagraph"/>
        <w:numPr>
          <w:ilvl w:val="0"/>
          <w:numId w:val="12"/>
        </w:numPr>
      </w:pPr>
      <w:r>
        <w:t>Pièce 10 : Contrat de consortium Berthoud-Magnin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e C. Bonvin" w:initials="" w:date="2026-03-29T13:34:04Z">
    <w:p>
      <w:pPr>
        <w:pStyle w:val="CommentText"/>
      </w:pPr>
      <w:r>
        <w:rPr>
          <w:rStyle w:val="CommentReference"/>
        </w:rPr>
        <w:annotationRef/>
      </w:r>
      <w:r>
        <w:t>Vérifier si les mises en demeure 5 à 8 sont toutes signées par recommandé.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Art. 367 CO : "Le maître doit vérifier l’état de l’ouvrage dès qu’il le peut d’après la marche habituelle des affaires, et en signaler les défauts à l’entrepreneur, s’il y a lieu."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M. Jean-Claude Favre, expert inscrit au registre SIA sous le n° 45892, spécialisé en pathologie du bâtiment.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Norme SIA 118 : Conditions générales pour l’exécution des travaux de construction, édition 2013.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ATF 136 III 273 consid. 2.3 ; ATF 116 II 305 consid. 4a.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TF 4A_250/2015 du 18 novembre 2015, consid. 3.2, JdT 2016 II 223.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Délai de prescription de cinq ans dès la réception de l’ouvrage pour les ouvrages immobiliers (art. 371 al. 2 CO).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z w:val="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