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6"/>
        </w:rPr>
        <w:t>ÉTUDE BONNARD, LEMAÎTRE &amp; ASSOCIÉS</w:t>
      </w:r>
    </w:p>
    <w:p>
      <w:r>
        <w:rPr>
          <w:rFonts w:ascii="Times New Roman" w:hAnsi="Times New Roman"/>
          <w:color w:val="808080"/>
          <w:sz w:val="20"/>
        </w:rPr>
        <w:t>Avocats au Barreau de Genève</w:t>
        <w:br/>
        <w:t>Rue du Rhône 42, 1204 Genève</w:t>
        <w:br/>
        <w:t>Tél. +41 22 310 55 00 • Fax +41 22 310 55 01</w:t>
        <w:br/>
        <w:t>info@bonnard-lemaitre.ch</w:t>
      </w:r>
    </w:p>
    <w:p/>
    <w:p>
      <w:r>
        <w:rPr>
          <w:rFonts w:ascii="Times New Roman" w:hAnsi="Times New Roman"/>
          <w:sz w:val="22"/>
        </w:rPr>
        <w:t>Genève, le 29 mars 2026</w:t>
      </w:r>
    </w:p>
    <w:p/>
    <w:p>
      <w:r>
        <w:rPr>
          <w:rFonts w:ascii="Times New Roman" w:hAnsi="Times New Roman"/>
          <w:b/>
          <w:color w:val="FF0000"/>
          <w:sz w:val="22"/>
        </w:rPr>
        <w:t>RECOMMANDÉ A.R.</w:t>
      </w:r>
    </w:p>
    <w:p/>
    <w:p>
      <w:r>
        <w:rPr>
          <w:rFonts w:ascii="Times New Roman" w:hAnsi="Times New Roman"/>
          <w:sz w:val="22"/>
        </w:rPr>
        <w:t>Société Alpes Construction SA</w:t>
        <w:br/>
        <w:t>Monsieur Marc-Antoine Devillard, Administrateur</w:t>
        <w:br/>
        <w:t>Chemin des Tulipes 17</w:t>
        <w:br/>
        <w:t>1006 Lausanne</w:t>
      </w:r>
    </w:p>
    <w:p/>
    <w:p>
      <w:pPr>
        <w:pStyle w:val="Heading2"/>
      </w:pPr>
      <w:r>
        <w:rPr>
          <w:rFonts w:ascii="Times New Roman" w:hAnsi="Times New Roman"/>
          <w:b/>
          <w:sz w:val="26"/>
        </w:rPr>
        <w:t>Objet : Mise en demeure – Inexécution du contrat d'entreprise du 15 septembre 2025</w:t>
      </w:r>
    </w:p>
    <w:p>
      <w:r>
        <w:rPr>
          <w:rFonts w:ascii="Times New Roman" w:hAnsi="Times New Roman"/>
          <w:i/>
          <w:sz w:val="20"/>
        </w:rPr>
        <w:t>N/Réf. : BLA/2026/0347</w:t>
      </w:r>
    </w:p>
    <w:p/>
    <w:p>
      <w:r>
        <w:rPr>
          <w:rFonts w:ascii="Times New Roman" w:hAnsi="Times New Roman"/>
          <w:sz w:val="22"/>
        </w:rPr>
        <w:t>Monsieur l'Administrateur,</w:t>
      </w:r>
    </w:p>
    <w:p>
      <w:r>
        <w:rPr>
          <w:rFonts w:ascii="Times New Roman" w:hAnsi="Times New Roman"/>
          <w:sz w:val="22"/>
        </w:rPr>
        <w:t>Nous intervenons en qualité de conseils de la société Immobilière du Léman SA (ci-après « notre mandante »), laquelle nous a chargés de défendre ses intérêts dans le cadre du litige l'opposant à votre société.</w:t>
      </w:r>
    </w:p>
    <w:p>
      <w:r>
        <w:rPr>
          <w:rFonts w:ascii="Times New Roman" w:hAnsi="Times New Roman"/>
          <w:sz w:val="22"/>
        </w:rPr>
        <w:t>Par contrat d'entreprise signé le 15 septembre 2025, votre société s'est engagée à réaliser les travaux de rénovation intérieure de l'immeuble sis Quai des Bergues 12, 1201 Genève, pour un montant forfaitaire de CHF 485'000.00, avec un délai d'achèvement fixé au 28 février 2026.</w:t>
      </w:r>
    </w:p>
    <w:p>
      <w:r>
        <w:rPr>
          <w:rFonts w:ascii="Times New Roman" w:hAnsi="Times New Roman"/>
          <w:sz w:val="22"/>
        </w:rPr>
        <w:t>Force est de constater que, à ce jour, les travaux présentent un retard considérable et que plusieurs prestations essentielles n'ont pas été exécutées conformément aux spécifications contractuelles. Conformément à l'art. 102 al. 1 du Code des obligations, le débiteur est constitué en demeure lorsqu'il n'exécute pas son obligation à l'échéance convenue.</w:t>
      </w:r>
      <w:r>
        <w:rPr>
          <w:rStyle w:val="FootnoteReference"/>
        </w:rPr>
        <w:footnoteReference w:id="2"/>
      </w:r>
    </w:p>
    <w:p/>
    <w:p>
      <w:pPr>
        <w:pStyle w:val="Heading2"/>
      </w:pPr>
      <w:r>
        <w:rPr>
          <w:rFonts w:ascii="Times New Roman" w:hAnsi="Times New Roman"/>
          <w:b/>
          <w:sz w:val="24"/>
        </w:rPr>
        <w:t>I. Manquements constatés</w:t>
      </w:r>
    </w:p>
    <w:p>
      <w:r>
        <w:rPr>
          <w:rFonts w:ascii="Times New Roman" w:hAnsi="Times New Roman"/>
          <w:sz w:val="22"/>
        </w:rPr>
        <w:t>Les défauts et manquements suivants ont été constatés par l'expert indépendant Monsieur Jean-Pierre Favre, ingénieur diplômé EPFL :</w:t>
      </w:r>
    </w:p>
    <w:p>
      <w:pPr>
        <w:pStyle w:val="ListParagraph"/>
        <w:numPr>
          <w:ilvl w:val="0"/>
          <w:numId w:val="10"/>
        </w:numPr>
      </w:pPr>
      <w:r>
        <w:t>Non-conformité du revêtement de sol au 3ème étage (parquet posé sans respect des normes SIA 253)</w:t>
      </w:r>
    </w:p>
    <w:p>
      <w:pPr>
        <w:pStyle w:val="ListParagraph"/>
        <w:numPr>
          <w:ilvl w:val="0"/>
          <w:numId w:val="10"/>
        </w:numPr>
      </w:pPr>
      <w:r>
        <w:t>Fissures structurelles dans le mur porteur de la cage d'escalier (lot n° 4)</w:t>
      </w:r>
    </w:p>
    <w:p>
      <w:pPr>
        <w:pStyle w:val="ListParagraph"/>
        <w:numPr>
          <w:ilvl w:val="0"/>
          <w:numId w:val="10"/>
        </w:numPr>
      </w:pPr>
      <w:r>
        <w:t>Installation électrique incomplète au sous-sol – absence de mise à la terre conforme NIBT 2020</w:t>
      </w:r>
    </w:p>
    <w:p>
      <w:pPr>
        <w:pStyle w:val="ListParagraph"/>
        <w:numPr>
          <w:ilvl w:val="0"/>
          <w:numId w:val="10"/>
        </w:numPr>
      </w:pPr>
      <w:r>
        <w:t>Infiltrations d'eau récurrentes au niveau de la toiture terrasse, défaut d'étanchéité</w:t>
      </w:r>
    </w:p>
    <w:p>
      <w:pPr>
        <w:pStyle w:val="ListParagraph"/>
        <w:numPr>
          <w:ilvl w:val="0"/>
          <w:numId w:val="10"/>
        </w:numPr>
      </w:pPr>
      <w:r>
        <w:t>Menuiseries extérieures non conformes au cahier des charges (double vitrage au lieu de triple vitrage Minergie)</w:t>
      </w:r>
    </w:p>
    <w:p/>
    <w:p>
      <w:pPr>
        <w:pStyle w:val="Heading2"/>
      </w:pPr>
      <w:r>
        <w:rPr>
          <w:rFonts w:ascii="Times New Roman" w:hAnsi="Times New Roman"/>
          <w:b/>
          <w:sz w:val="24"/>
        </w:rPr>
        <w:t>II. Récapitulatif des coûts de réparation estimés</w:t>
      </w:r>
    </w:p>
    <w:tbl>
      <w:tblPr>
        <w:tblStyle w:val="TableGrid"/>
        <w:tblLook w:firstColumn="1" w:firstRow="1" w:lastColumn="0" w:lastRow="0" w:noHBand="0" w:noVBand="1" w:val="04A0"/>
        <w:tblW w:w="5000" w:type="pct"/>
      </w:tblPr>
      <w:tblGrid>
        <w:gridCol w:w="2880"/>
        <w:gridCol w:w="2880"/>
        <w:gridCol w:w="2880"/>
      </w:tblGrid>
      <w:tr>
        <w:tc>
          <w:tcPr>
            <w:tcW w:type="dxa" w:w="914400"/>
            <w:tcBorders>
              <w:top w:val="single" w:sz="4" w:space="0" w:color="auto"/>
              <w:left w:val="single" w:sz="4" w:space="0" w:color="auto"/>
              <w:bottom w:val="single" w:sz="4" w:space="0" w:color="auto"/>
              <w:right w:val="single" w:sz="4" w:space="0" w:color="auto"/>
            </w:tcBorders>
            <w:shd w:fill="1F3864" w:val="clear"/>
            <w:vAlign w:val="center"/>
          </w:tcPr>
          <w:p>
            <w:pPr>
              <w:jc w:val="left"/>
            </w:pPr>
            <w:r>
              <w:rPr>
                <w:b/>
                <w:color w:val="FFFFFF"/>
              </w:rPr>
              <w:t>Poste</w:t>
            </w:r>
          </w:p>
        </w:tc>
        <w:tc>
          <w:tcPr>
            <w:tcW w:type="dxa" w:w="4114800"/>
            <w:tcBorders>
              <w:top w:val="single" w:sz="4" w:space="0" w:color="auto"/>
              <w:left w:val="single" w:sz="4" w:space="0" w:color="auto"/>
              <w:bottom w:val="single" w:sz="4" w:space="0" w:color="auto"/>
              <w:right w:val="single" w:sz="4" w:space="0" w:color="auto"/>
            </w:tcBorders>
            <w:shd w:fill="1F3864" w:val="clear"/>
            <w:vAlign w:val="center"/>
          </w:tcPr>
          <w:p>
            <w:pPr>
              <w:jc w:val="left"/>
            </w:pPr>
            <w:r>
              <w:rPr>
                <w:b/>
                <w:color w:val="FFFFFF"/>
              </w:rPr>
              <w:t>Description</w:t>
            </w:r>
          </w:p>
        </w:tc>
        <w:tc>
          <w:tcPr>
            <w:tcW w:type="dxa" w:w="1371600"/>
            <w:tcBorders>
              <w:top w:val="single" w:sz="4" w:space="0" w:color="auto"/>
              <w:left w:val="single" w:sz="4" w:space="0" w:color="auto"/>
              <w:bottom w:val="single" w:sz="4" w:space="0" w:color="auto"/>
              <w:right w:val="single" w:sz="4" w:space="0" w:color="auto"/>
            </w:tcBorders>
            <w:shd w:fill="1F3864" w:val="clear"/>
            <w:vAlign w:val="top"/>
          </w:tcPr>
          <w:p>
            <w:pPr>
              <w:jc w:val="right"/>
            </w:pPr>
            <w:r>
              <w:rPr>
                <w:b/>
                <w:color w:val="FFFFFF"/>
              </w:rPr>
              <w:t>Montant (CHF)</w:t>
            </w:r>
          </w:p>
        </w:tc>
      </w:tr>
      <w:tr>
        <w:tc>
          <w:tcPr>
            <w:tcW w:type="dxa" w:w="914400"/>
            <w:tcBorders>
              <w:top w:val="single" w:sz="4" w:space="0" w:color="auto"/>
              <w:left w:val="single" w:sz="4" w:space="0" w:color="auto"/>
              <w:bottom w:val="single" w:sz="4" w:space="0" w:color="auto"/>
              <w:right w:val="single" w:sz="4" w:space="0" w:color="auto"/>
            </w:tcBorders>
            <w:vAlign w:val="center"/>
          </w:tcPr>
          <w:p>
            <w:pPr>
              <w:jc w:val="left"/>
            </w:pPr>
            <w:r>
              <w:t>1</w:t>
            </w:r>
          </w:p>
        </w:tc>
        <w:tc>
          <w:tcPr>
            <w:tcW w:type="dxa" w:w="4114800"/>
            <w:tcBorders>
              <w:top w:val="single" w:sz="4" w:space="0" w:color="auto"/>
              <w:left w:val="single" w:sz="4" w:space="0" w:color="auto"/>
              <w:bottom w:val="single" w:sz="4" w:space="0" w:color="auto"/>
              <w:right w:val="single" w:sz="4" w:space="0" w:color="auto"/>
            </w:tcBorders>
            <w:vAlign w:val="center"/>
          </w:tcPr>
          <w:p>
            <w:pPr>
              <w:jc w:val="left"/>
            </w:pPr>
            <w:r>
              <w:t>Réfection revêtement de sol 3ème étage</w:t>
            </w:r>
          </w:p>
        </w:tc>
        <w:tc>
          <w:tcPr>
            <w:tcW w:type="dxa" w:w="1371600"/>
            <w:tcBorders>
              <w:top w:val="single" w:sz="4" w:space="0" w:color="auto"/>
              <w:left w:val="single" w:sz="4" w:space="0" w:color="auto"/>
              <w:bottom w:val="single" w:sz="4" w:space="0" w:color="auto"/>
              <w:right w:val="single" w:sz="4" w:space="0" w:color="auto"/>
            </w:tcBorders>
            <w:vAlign w:val="top"/>
          </w:tcPr>
          <w:p>
            <w:pPr>
              <w:jc w:val="right"/>
            </w:pPr>
            <w:r>
              <w:t>42'500.00</w:t>
            </w:r>
          </w:p>
        </w:tc>
      </w:tr>
      <w:tr>
        <w:tc>
          <w:tcPr>
            <w:tcW w:type="dxa" w:w="914400"/>
            <w:tcBorders>
              <w:top w:val="single" w:sz="4" w:space="0" w:color="auto"/>
              <w:left w:val="single" w:sz="4" w:space="0" w:color="auto"/>
              <w:bottom w:val="single" w:sz="4" w:space="0" w:color="auto"/>
              <w:right w:val="single" w:sz="4" w:space="0" w:color="auto"/>
            </w:tcBorders>
            <w:vAlign w:val="center"/>
          </w:tcPr>
          <w:p>
            <w:pPr>
              <w:jc w:val="left"/>
            </w:pPr>
            <w:r>
              <w:t>2</w:t>
            </w:r>
          </w:p>
        </w:tc>
        <w:tc>
          <w:tcPr>
            <w:tcW w:type="dxa" w:w="4114800"/>
            <w:tcBorders>
              <w:top w:val="single" w:sz="4" w:space="0" w:color="auto"/>
              <w:left w:val="single" w:sz="4" w:space="0" w:color="auto"/>
              <w:bottom w:val="single" w:sz="4" w:space="0" w:color="auto"/>
              <w:right w:val="single" w:sz="4" w:space="0" w:color="auto"/>
            </w:tcBorders>
            <w:vAlign w:val="center"/>
          </w:tcPr>
          <w:p>
            <w:pPr>
              <w:jc w:val="left"/>
            </w:pPr>
            <w:r>
              <w:t>Réparation mur porteur cage d'escalier</w:t>
            </w:r>
          </w:p>
        </w:tc>
        <w:tc>
          <w:tcPr>
            <w:tcW w:type="dxa" w:w="1371600"/>
            <w:tcBorders>
              <w:top w:val="single" w:sz="4" w:space="0" w:color="auto"/>
              <w:left w:val="single" w:sz="4" w:space="0" w:color="auto"/>
              <w:bottom w:val="single" w:sz="4" w:space="0" w:color="auto"/>
              <w:right w:val="single" w:sz="4" w:space="0" w:color="auto"/>
            </w:tcBorders>
            <w:vAlign w:val="top"/>
          </w:tcPr>
          <w:p>
            <w:pPr>
              <w:jc w:val="right"/>
            </w:pPr>
            <w:r>
              <w:t>67'800.00</w:t>
            </w:r>
          </w:p>
        </w:tc>
      </w:tr>
      <w:tr>
        <w:tc>
          <w:tcPr>
            <w:tcW w:type="dxa" w:w="914400"/>
            <w:tcBorders>
              <w:top w:val="single" w:sz="4" w:space="0" w:color="auto"/>
              <w:left w:val="single" w:sz="4" w:space="0" w:color="auto"/>
              <w:bottom w:val="single" w:sz="4" w:space="0" w:color="auto"/>
              <w:right w:val="single" w:sz="4" w:space="0" w:color="auto"/>
            </w:tcBorders>
            <w:vAlign w:val="center"/>
          </w:tcPr>
          <w:p>
            <w:pPr>
              <w:jc w:val="left"/>
            </w:pPr>
            <w:r>
              <w:t>3</w:t>
            </w:r>
          </w:p>
        </w:tc>
        <w:tc>
          <w:tcPr>
            <w:tcW w:type="dxa" w:w="4114800"/>
            <w:tcBorders>
              <w:top w:val="single" w:sz="4" w:space="0" w:color="auto"/>
              <w:left w:val="single" w:sz="4" w:space="0" w:color="auto"/>
              <w:bottom w:val="single" w:sz="4" w:space="0" w:color="auto"/>
              <w:right w:val="single" w:sz="4" w:space="0" w:color="auto"/>
            </w:tcBorders>
            <w:vAlign w:val="center"/>
          </w:tcPr>
          <w:p>
            <w:pPr>
              <w:jc w:val="left"/>
            </w:pPr>
            <w:r>
              <w:t>Mise en conformité installation électrique</w:t>
            </w:r>
          </w:p>
        </w:tc>
        <w:tc>
          <w:tcPr>
            <w:tcW w:type="dxa" w:w="1371600"/>
            <w:tcBorders>
              <w:top w:val="single" w:sz="4" w:space="0" w:color="auto"/>
              <w:left w:val="single" w:sz="4" w:space="0" w:color="auto"/>
              <w:bottom w:val="single" w:sz="4" w:space="0" w:color="auto"/>
              <w:right w:val="single" w:sz="4" w:space="0" w:color="auto"/>
            </w:tcBorders>
            <w:vAlign w:val="top"/>
          </w:tcPr>
          <w:p>
            <w:pPr>
              <w:jc w:val="right"/>
            </w:pPr>
            <w:r>
              <w:t>28'350.00</w:t>
            </w:r>
          </w:p>
        </w:tc>
      </w:tr>
      <w:tr>
        <w:tc>
          <w:tcPr>
            <w:tcW w:type="dxa" w:w="914400"/>
            <w:tcBorders>
              <w:top w:val="single" w:sz="4" w:space="0" w:color="auto"/>
              <w:left w:val="single" w:sz="4" w:space="0" w:color="auto"/>
              <w:bottom w:val="single" w:sz="4" w:space="0" w:color="auto"/>
              <w:right w:val="single" w:sz="4" w:space="0" w:color="auto"/>
            </w:tcBorders>
            <w:vAlign w:val="center"/>
          </w:tcPr>
          <w:p>
            <w:pPr>
              <w:jc w:val="left"/>
            </w:pPr>
            <w:r>
              <w:t>4</w:t>
            </w:r>
          </w:p>
        </w:tc>
        <w:tc>
          <w:tcPr>
            <w:tcW w:type="dxa" w:w="4114800"/>
            <w:tcBorders>
              <w:top w:val="single" w:sz="4" w:space="0" w:color="auto"/>
              <w:left w:val="single" w:sz="4" w:space="0" w:color="auto"/>
              <w:bottom w:val="single" w:sz="4" w:space="0" w:color="auto"/>
              <w:right w:val="single" w:sz="4" w:space="0" w:color="auto"/>
            </w:tcBorders>
            <w:vAlign w:val="center"/>
          </w:tcPr>
          <w:p>
            <w:pPr>
              <w:jc w:val="left"/>
            </w:pPr>
            <w:r>
              <w:t>Réfection étanchéité toiture terrasse</w:t>
            </w:r>
          </w:p>
        </w:tc>
        <w:tc>
          <w:tcPr>
            <w:tcW w:type="dxa" w:w="1371600"/>
            <w:tcBorders>
              <w:top w:val="single" w:sz="4" w:space="0" w:color="auto"/>
              <w:left w:val="single" w:sz="4" w:space="0" w:color="auto"/>
              <w:bottom w:val="single" w:sz="4" w:space="0" w:color="auto"/>
              <w:right w:val="single" w:sz="4" w:space="0" w:color="auto"/>
            </w:tcBorders>
            <w:vAlign w:val="top"/>
          </w:tcPr>
          <w:p>
            <w:pPr>
              <w:jc w:val="right"/>
            </w:pPr>
            <w:r>
              <w:t>53'200.00</w:t>
            </w:r>
          </w:p>
        </w:tc>
      </w:tr>
      <w:tr>
        <w:tc>
          <w:tcPr>
            <w:tcW w:type="dxa" w:w="914400"/>
            <w:tcBorders>
              <w:top w:val="single" w:sz="4" w:space="0" w:color="auto"/>
              <w:left w:val="single" w:sz="4" w:space="0" w:color="auto"/>
              <w:bottom w:val="single" w:sz="4" w:space="0" w:color="auto"/>
              <w:right w:val="single" w:sz="4" w:space="0" w:color="auto"/>
            </w:tcBorders>
            <w:vAlign w:val="center"/>
          </w:tcPr>
          <w:p>
            <w:pPr>
              <w:jc w:val="left"/>
            </w:pPr>
            <w:r>
              <w:t>5</w:t>
            </w:r>
          </w:p>
        </w:tc>
        <w:tc>
          <w:tcPr>
            <w:tcW w:type="dxa" w:w="4114800"/>
            <w:tcBorders>
              <w:top w:val="single" w:sz="4" w:space="0" w:color="auto"/>
              <w:left w:val="single" w:sz="4" w:space="0" w:color="auto"/>
              <w:bottom w:val="single" w:sz="4" w:space="0" w:color="auto"/>
              <w:right w:val="single" w:sz="4" w:space="0" w:color="auto"/>
            </w:tcBorders>
            <w:vAlign w:val="center"/>
          </w:tcPr>
          <w:p>
            <w:pPr>
              <w:jc w:val="left"/>
            </w:pPr>
            <w:r>
              <w:t>Remplacement menuiseries extérieures</w:t>
            </w:r>
          </w:p>
        </w:tc>
        <w:tc>
          <w:tcPr>
            <w:tcW w:type="dxa" w:w="1371600"/>
            <w:tcBorders>
              <w:top w:val="single" w:sz="4" w:space="0" w:color="auto"/>
              <w:left w:val="single" w:sz="4" w:space="0" w:color="auto"/>
              <w:bottom w:val="single" w:sz="4" w:space="0" w:color="auto"/>
              <w:right w:val="single" w:sz="4" w:space="0" w:color="auto"/>
            </w:tcBorders>
            <w:vAlign w:val="top"/>
          </w:tcPr>
          <w:p>
            <w:pPr>
              <w:jc w:val="right"/>
            </w:pPr>
            <w:r>
              <w:t>89'150.00</w:t>
            </w:r>
          </w:p>
        </w:tc>
      </w:tr>
      <w:tr>
        <w:tc>
          <w:tcPr>
            <w:tcW w:type="dxa" w:w="5029200"/>
            <w:gridSpan w:val="2"/>
            <w:tcBorders>
              <w:top w:val="single" w:sz="4" w:space="0" w:color="auto"/>
              <w:left w:val="single" w:sz="4" w:space="0" w:color="auto"/>
              <w:bottom w:val="single" w:sz="4" w:space="0" w:color="auto"/>
              <w:right w:val="single" w:sz="4" w:space="0" w:color="auto"/>
            </w:tcBorders>
            <w:vAlign w:val="center"/>
            <w:shd w:fill="D6E4F0" w:val="clear"/>
          </w:tcPr>
          <w:p>
            <w:r>
              <w:rPr>
                <w:rFonts w:ascii="Times New Roman" w:hAnsi="Times New Roman"/>
                <w:b/>
                <w:sz w:val="22"/>
              </w:rPr>
              <w:t>TOTAL</w:t>
            </w:r>
          </w:p>
        </w:tc>
        <w:tc>
          <w:tcPr>
            <w:tcW w:type="dxa" w:w="1371600"/>
            <w:tcBorders>
              <w:top w:val="single" w:sz="4" w:space="0" w:color="auto"/>
              <w:left w:val="single" w:sz="4" w:space="0" w:color="auto"/>
              <w:bottom w:val="single" w:sz="4" w:space="0" w:color="auto"/>
              <w:right w:val="single" w:sz="4" w:space="0" w:color="auto"/>
            </w:tcBorders>
            <w:vAlign w:val="top"/>
            <w:shd w:fill="D6E4F0" w:val="clear"/>
          </w:tcPr>
          <w:p>
            <w:pPr>
              <w:jc w:val="right"/>
            </w:pPr>
            <w:r>
              <w:rPr>
                <w:rFonts w:ascii="Times New Roman" w:hAnsi="Times New Roman"/>
                <w:b/>
                <w:sz w:val="22"/>
              </w:rPr>
              <w:t>281'000.00</w:t>
            </w:r>
          </w:p>
        </w:tc>
      </w:tr>
    </w:tbl>
    <w:p/>
    <w:p>
      <w:pPr>
        <w:pStyle w:val="Heading2"/>
      </w:pPr>
      <w:r>
        <w:rPr>
          <w:rFonts w:ascii="Times New Roman" w:hAnsi="Times New Roman"/>
          <w:b/>
          <w:sz w:val="24"/>
        </w:rPr>
        <w:t>III. Mise en demeure formelle</w:t>
      </w:r>
    </w:p>
    <w:p>
      <w:r>
        <w:rPr>
          <w:rFonts w:ascii="Times New Roman" w:hAnsi="Times New Roman"/>
          <w:sz w:val="22"/>
        </w:rPr>
        <w:t>Au vu de ce qui précède, nous vous mettons formellement en demeure, par la présente, de :</w:t>
      </w:r>
    </w:p>
    <w:p>
      <w:pPr>
        <w:pStyle w:val="ListParagraph"/>
        <w:numPr>
          <w:ilvl w:val="0"/>
          <w:numId w:val="11"/>
        </w:numPr>
      </w:pPr>
      <w:r>
        <w:t>Remédier à l'ensemble des défauts listés ci-dessus dans un délai de trente (30) jours à compter de la réception de la présente, soit au plus tard le 28 avril 2026 ;</w:t>
      </w:r>
    </w:p>
    <w:p>
      <w:pPr>
        <w:pStyle w:val="ListParagraph"/>
        <w:numPr>
          <w:ilvl w:val="0"/>
          <w:numId w:val="11"/>
        </w:numPr>
      </w:pPr>
      <w:r>
        <w:t>Produire une attestation de conformité NIBT pour l'installation électrique dans le même délai ;</w:t>
      </w:r>
    </w:p>
    <w:p>
      <w:pPr>
        <w:pStyle w:val="ListParagraph"/>
        <w:numPr>
          <w:ilvl w:val="0"/>
          <w:numId w:val="11"/>
        </w:numPr>
      </w:pPr>
      <w:r>
        <w:t>Nous faire parvenir un calendrier détaillé des travaux correctifs dans les dix (10) jours ;</w:t>
      </w:r>
    </w:p>
    <w:p/>
    <w:p>
      <w:r>
        <w:rPr>
          <w:rFonts w:ascii="Times New Roman" w:hAnsi="Times New Roman"/>
          <w:sz w:val="22"/>
        </w:rPr>
        <w:t>À défaut d'exécution dans le délai imparti, notre mandante se réserve expressément le droit de résilier le contrat conformément à l'art. 107 al. 2 CO et de réclamer des dommages-intérêts pour inexécution, incluant les coûts de réparation par un tiers, le préjudice lié au retard de livraison, ainsi que les frais d'expertise et d'avocat.</w:t>
      </w:r>
      <w:r>
        <w:rPr>
          <w:rStyle w:val="FootnoteReference"/>
        </w:rPr>
        <w:footnoteReference w:id="3"/>
      </w:r>
    </w:p>
    <w:p/>
    <w:p>
      <w:r>
        <w:rPr>
          <w:rFonts w:ascii="Times New Roman" w:hAnsi="Times New Roman"/>
          <w:i/>
          <w:sz w:val="22"/>
        </w:rPr>
        <w:t>La présente mise en demeure est adressée sous toutes réserves de droit et sans reconnaissance préjudiciable.</w:t>
      </w:r>
    </w:p>
    <w:p/>
    <w:p>
      <w:r>
        <w:rPr>
          <w:rFonts w:ascii="Times New Roman" w:hAnsi="Times New Roman"/>
          <w:sz w:val="22"/>
        </w:rPr>
        <w:t>Nous vous prions d'agréer, Monsieur l'Administrateur, l'assurance de notre considération distinguée.</w:t>
      </w:r>
    </w:p>
    <w:p/>
    <w:p/>
    <w:p>
      <w:r>
        <w:rPr>
          <w:rFonts w:ascii="Times New Roman" w:hAnsi="Times New Roman"/>
          <w:b/>
          <w:sz w:val="22"/>
        </w:rPr>
        <w:t>Me Claire Bonnard</w:t>
      </w:r>
      <w:r>
        <w:rPr>
          <w:rFonts w:ascii="Times New Roman" w:hAnsi="Times New Roman"/>
          <w:sz w:val="22"/>
        </w:rPr>
        <w:br/>
        <w:t>Associée</w:t>
        <w:br/>
        <w:t>Étude Bonnard, Lemaître &amp; Associés</w:t>
      </w:r>
    </w:p>
    <w:p/>
    <w:p>
      <w:r>
        <w:rPr>
          <w:rFonts w:ascii="Times New Roman" w:hAnsi="Times New Roman"/>
          <w:i/>
          <w:sz w:val="20"/>
        </w:rPr>
        <w:t>Annexes :</w:t>
        <w:br/>
        <w:t>1. Rapport d'expertise de M. Favre du 12 mars 2026</w:t>
        <w:br/>
        <w:t>2. Copie du contrat d'entreprise du 15 septembre 2025</w:t>
        <w:br/>
        <w:t>3. Correspondance antérieure (courriels des 15 janvier et 20 février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2">
    <w:p>
      <w:pPr>
        <w:pStyle w:val="FootnoteText"/>
      </w:pPr>
      <w:r>
        <w:rPr>
          <w:rStyle w:val="FootnoteReference"/>
        </w:rPr>
        <w:footnoteRef/>
      </w:r>
      <w:r>
        <w:t xml:space="preserve"> </w:t>
      </w:r>
      <w:r>
        <w:t>Art. 102 al. 1 CO : « Le débiteur d'une obligation exigible est mis en demeure par l'interpellation du créancier. » Lorsqu'un terme a été stipulé, la demeure survient par la seule échéance de ce terme (art. 102 al. 2 CO).</w:t>
      </w:r>
    </w:p>
  </w:footnote>
  <w:footnote w:id="3">
    <w:p>
      <w:pPr>
        <w:pStyle w:val="FootnoteText"/>
      </w:pPr>
      <w:r>
        <w:rPr>
          <w:rStyle w:val="FootnoteReference"/>
        </w:rPr>
        <w:footnoteRef/>
      </w:r>
      <w:r>
        <w:t xml:space="preserve"> </w:t>
      </w:r>
      <w:r>
        <w:t>Art. 107 al. 2 CO : « Lorsque le débiteur ne s'exécute pas dans le délai supplémentaire, le créancier peut résilier le contrat. » Voir également ATF 140 III 473, consid. 3.2.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rPr>
      <w:vertAlign w:val="superscript"/>
    </w:rPr>
  </w:style>
  <w:style w:type="paragraph" w:styleId="FootnoteText">
    <w:name w:val="footnote text"/>
    <w:basedOn w:val="Normal"/>
    <w:pPr>
      <w:sz w:val="20"/>
    </w:pPr>
  </w:style>
  <w:style w:type="paragraph" w:customStyle="1" w:styleId="FootnoteText">
    <w:name w:val="Footnote Text"/>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