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pPr>
        <w:pStyle w:val="Heading1"/>
      </w:pPr>
      <w:r>
        <w:t>Enterprise Generative AI Strategy (2025–2026)</w:t>
        <w:br/>
        <w:t xml:space="preserve"> Executive Strategy Proposal &amp; Presentation Blueprint</w:t>
      </w:r>
    </w:p>
    <w:p>
      <w:r>
        <w:t>---</w:t>
      </w:r>
    </w:p>
    <w:p>
      <w:pPr>
        <w:pStyle w:val="Heading1"/>
      </w:pPr>
      <w:r>
        <w:t>SECTION 1: EXECUTIVE STRATEGY PROPOSAL</w:t>
      </w:r>
    </w:p>
    <w:p>
      <w:pPr>
        <w:pStyle w:val="Heading1"/>
      </w:pPr>
      <w:r>
        <w:t>1. Executive Summary</w:t>
      </w:r>
    </w:p>
    <w:p>
      <w:r>
        <w:t>As Generative AI matures, the enterprise landscape has shifted rapidly from experimental Proof-of-Concepts (PoCs) to business-critical production deployment. To capture value while mitigating operational, regulatory, and financial risks, modern organizations must transition from fragmented AI initiatives to a unified, governed, and architecture-driven **Enterprise Generative AI Strategy**.</w:t>
      </w:r>
    </w:p>
    <w:p>
      <w:r>
        <w:t>This proposal outlines the strategic framework, architectural paradigms, governance models, and deployment roadmap required to harness current AI capabilities—including **Small Language Models (SLMs), Advanced RAG / GraphRAG, Autonomous Multi-Agent Workflows, and Embedded SaaS Copilots**—to deliver measurable ROI across the enterprise.</w:t>
      </w:r>
    </w:p>
    <w:p>
      <w:r>
        <w:t>---</w:t>
      </w:r>
    </w:p>
    <w:p>
      <w:pPr>
        <w:pStyle w:val="Heading1"/>
      </w:pPr>
      <w:r>
        <w:t>2. Market Landscape &amp; Strategic Trends</w:t>
      </w:r>
    </w:p>
    <w:p>
      <w:r>
        <w:t>Based on cross-industry enterprise benchmark data (Gartner, McKinsey, IDC, Deloitte), six core trends define the current enterprise AI trajectory:</w:t>
      </w:r>
    </w:p>
    <w:p>
      <w:r>
        <w:t>1. **Production &amp; ROI Focus:** Capital allocation is shifting from broad LLM experimentation to hyper-focused initiatives with clear payback periods (&lt;12 months), prioritizing infrastructure cost optimization and API unit economics.</w:t>
        <w:br/>
        <w:t>2. **Right-Sized Intelligence (SLMs vs. LLMs):** Transitioning from massive foundation models (e.g., GPT-4) to targeted, fine-tuned Small Language Models (e.g., Llama 3 8B, Phi-3, Mistral) for lower latency, higher security, and reduced token costs.</w:t>
        <w:br/>
        <w:t>3. **Advanced Retrieval-Augmented Generation (RAG &amp; GraphRAG):** Enterprise knowledge integration is evolving beyond simple semantic search toward Knowledge Graph-enhanced RAG, ensuring zero data leakage, strict Role-Based Access Control (RBAC), and deterministic accuracy.</w:t>
        <w:br/>
        <w:t>4. **Autonomous AI Agents &amp; Orchestration:** Evolution from passive conversational assistants to multi-agent systems capable of executing complex, multi-step actions across enterprise ERP, CRM, and HR software layers.</w:t>
        <w:br/>
        <w:t>5. **Multimodal Core Workflows:** Integration of text, voice, document structure, and vision models to automate unstructured document processing (invoices, schematics, contracts) and visual inspection tasks.</w:t>
        <w:br/>
        <w:t>6. **Governance, Risk &amp; Regulatory Compliance:** CISOs and Board Audit committees are standardizing AI governance frameworks to eliminate "Shadow AI," ensure compliance with global legislation (e.g., EU AI Act), and safeguard intellectual property.</w:t>
      </w:r>
    </w:p>
    <w:p>
      <w:r>
        <w:t>---</w:t>
      </w:r>
    </w:p>
    <w:p>
      <w:pPr>
        <w:pStyle w:val="Heading1"/>
      </w:pPr>
      <w:r>
        <w:t>3. Recommended Capability Architecture</w:t>
      </w:r>
    </w:p>
    <w:p>
      <w:r>
        <w:t>```</w:t>
        <w:br/>
        <w:t>+-----------------------------------------------------------------------------------+</w:t>
        <w:br/>
        <w:t>|                           ENTERPRISE APPLICATION LAYER                             |</w:t>
        <w:br/>
        <w:t>|  [ Embedded SaaS Copilots ]     [ Custom Business Apps ]     [ Autonomous Agents ]|</w:t>
        <w:br/>
        <w:t>+-----------------------------------------------------------------------------------+</w:t>
        <w:br/>
        <w:t xml:space="preserve">                                          |</w:t>
        <w:br/>
        <w:t>+-----------------------------------------------------------------------------------+</w:t>
        <w:br/>
        <w:t>|                        ORCHESTRATION &amp; AGENTIC LAYER                              |</w:t>
        <w:br/>
        <w:t>|   - Multi-Agent Task Routing     - Tool &amp; API Execution     - State Management   |</w:t>
        <w:br/>
        <w:t>+-----------------------------------------------------------------------------------+</w:t>
        <w:br/>
        <w:t xml:space="preserve">                                          |</w:t>
        <w:br/>
        <w:t>+-----------------------------------------------------------------------------------+</w:t>
        <w:br/>
        <w:t>|                        ENTERPRISE KNOWLEDGE &amp; CONTEXT                             |</w:t>
        <w:br/>
        <w:t>|   - GraphRAG / Vector Databases    - Data Governance &amp; RBAC    - Real-time Sync   |</w:t>
        <w:br/>
        <w:t>+-----------------------------------------------------------------------------------+</w:t>
        <w:br/>
        <w:t xml:space="preserve">                                          |</w:t>
        <w:br/>
        <w:t>+-----------------------------------------------------------------------------------+</w:t>
        <w:br/>
        <w:t>|                           MODEL &amp; INFRASTRUCTURE LAYER                            |</w:t>
        <w:br/>
        <w:t>|   - Open-Source SLMs (On-Prem/Private Cloud)    - Commercial LLMs (API Gateways) |</w:t>
        <w:br/>
        <w:t>+-----------------------------------------------------------------------------------+</w:t>
        <w:br/>
        <w:t>```</w:t>
      </w:r>
    </w:p>
    <w:p>
      <w:r>
        <w:t>---</w:t>
      </w:r>
    </w:p>
    <w:p>
      <w:pPr>
        <w:pStyle w:val="Heading1"/>
      </w:pPr>
      <w:r>
        <w:t>4. High-Impact Enterprise Use Cases &amp; Phasing</w:t>
      </w:r>
    </w:p>
    <w:p>
      <w:pPr>
        <w:pStyle w:val="Heading1"/>
      </w:pPr>
      <w:r>
        <w:t>Phase 1 (Months 1–3): Quick Wins &amp; Infrastructure Base</w:t>
        <w:br/>
        <w:t>* **Domain Knowledge Hub:** Advanced RAG implementation over internal documentation, policy, and code bases with RBAC integration.</w:t>
        <w:br/>
        <w:t>* **AI Governance Framework:** Establishment of the AI Steering Committee, Guardrails, and Shadow AI monitoring toolkits.</w:t>
      </w:r>
    </w:p>
    <w:p>
      <w:pPr>
        <w:pStyle w:val="Heading1"/>
      </w:pPr>
      <w:r>
        <w:t>Phase 2 (Months 4–9): High-Value Operational Automation</w:t>
        <w:br/>
        <w:t>* **Customer Care &amp; Support Agent:** Multimodal, autonomous triage and resolution agent connected to CRM and ticketing systems.</w:t>
        <w:br/>
        <w:t>* **SLM Fine-Tuning:** Deployment of domain-specific SLMs on private infrastructure for high-volume document extraction and code generation.</w:t>
      </w:r>
    </w:p>
    <w:p>
      <w:pPr>
        <w:pStyle w:val="Heading1"/>
      </w:pPr>
      <w:r>
        <w:t>Phase 3 (Months 10–18): Autonomous Enterprise Workflows</w:t>
        <w:br/>
        <w:t>* **Multi-Agent Cross-Functional Orchestration:** Multi-agent networks executing end-to-end supply chain, procurement, and financial reconciliation tasks.</w:t>
      </w:r>
    </w:p>
    <w:p>
      <w:r>
        <w:t>---</w:t>
      </w:r>
    </w:p>
    <w:p>
      <w:pPr>
        <w:pStyle w:val="Heading1"/>
      </w:pPr>
      <w:r>
        <w:t>5. Governance, Security, and Compliance Strategy</w:t>
      </w:r>
    </w:p>
    <w:p>
      <w:r>
        <w:t>* **Zero Data Retention Agreements:** Secure API connections with major model providers ensuring enterprise data is never used for foundation model training.</w:t>
        <w:br/>
        <w:t>* **Guardrails &amp; Firewalls:** Implementation of real-time input/output guardrail layers (PII redaction, prompt injection defense, hallucination scoring).</w:t>
        <w:br/>
        <w:t>* **Auditability &amp; Traceability:** Logging all agent reasoning chains, data sources, and execution logs for compliance reviews.</w:t>
      </w:r>
    </w:p>
    <w:p>
      <w:r>
        <w:t>---</w:t>
      </w:r>
    </w:p>
    <w:p>
      <w:pPr>
        <w:pStyle w:val="Heading1"/>
      </w:pPr>
      <w:r>
        <w:t>SECTION 2: 12-SLIDE EXECUTIVE PRESENTATION DECK</w:t>
      </w:r>
    </w:p>
    <w:p>
      <w:r>
        <w:t>---</w:t>
      </w:r>
    </w:p>
    <w:p>
      <w:pPr>
        <w:pStyle w:val="Heading1"/>
      </w:pPr>
      <w:r>
        <w:t>Slide 1: Title Slide</w:t>
      </w:r>
    </w:p>
    <w:p>
      <w:r>
        <w:t>* **Header / Title:** Enterprise Generative AI Strategy (2025–2026)</w:t>
        <w:br/>
        <w:t>* **Subtitle:** From Hype to High-Yield Operational Production</w:t>
        <w:br/>
        <w:t>* **Visual Layout:** Clean corporate dark-mode template with high-contrast typography, strategic title layout, logo placeholder, and metadata footer.</w:t>
        <w:br/>
        <w:t>* **Body Content:**</w:t>
        <w:br/>
        <w:t xml:space="preserve">  * **Prepared for:** Executive Leadership &amp; Board of Directors</w:t>
        <w:br/>
        <w:t xml:space="preserve">  * **Focus Areas:** ROI Scaling, Model Optimization, Autonomous Agents &amp; Governance</w:t>
        <w:br/>
        <w:t>* **Presenter Notes:** *"Welcome team. Today we present our comprehensive strategy for scaling Generative AI across the organization—moving past experimental chatbots into secure, high-ROI autonomous workflows."*</w:t>
      </w:r>
    </w:p>
    <w:p>
      <w:r>
        <w:t>---</w:t>
      </w:r>
    </w:p>
    <w:p>
      <w:pPr>
        <w:pStyle w:val="Heading1"/>
      </w:pPr>
      <w:r>
        <w:t>Slide 2: Executive Summary &amp; Strategic Imperative</w:t>
      </w:r>
    </w:p>
    <w:p>
      <w:r>
        <w:t>* **Header / Title:** Executive Summary: Capitalizing on the GenAI Evolution</w:t>
        <w:br/>
        <w:t>* **Visual Layout:** 3-column structured card layout highlighting Challenge, Opportunity, and Strategy.</w:t>
        <w:br/>
        <w:t>* **Body Content:**</w:t>
        <w:br/>
        <w:t xml:space="preserve">  * **The Challenge:** Rapid proliferation of fragmented AI tools creates cost overruns, security vulnerabilities, and minimal enterprise ROI.</w:t>
        <w:br/>
        <w:t xml:space="preserve">  * **The Opportunity:** Transitioning from passive LLMs to targeted Small Language Models (SLMs), GraphRAG, and Agentic Workflows.</w:t>
        <w:br/>
        <w:t xml:space="preserve">  * **The Strategy:** Deploy a unified, secure Enterprise AI Architecture that delivers $X+ million in efficiency gains over 18 months.</w:t>
        <w:br/>
        <w:t>* **Presenter Notes:** *"Generative AI has evolved from a novel concept into a mandatory core capability. Our goal is to consolidate disparate efforts into a unified framework that guarantees measurable ROI."*</w:t>
      </w:r>
    </w:p>
    <w:p>
      <w:r>
        <w:t>---</w:t>
      </w:r>
    </w:p>
    <w:p>
      <w:pPr>
        <w:pStyle w:val="Heading1"/>
      </w:pPr>
      <w:r>
        <w:t>Slide 3: Global Enterprise GenAI Trends (Macro Landscape)</w:t>
      </w:r>
    </w:p>
    <w:p>
      <w:r>
        <w:t>* **Header / Title:** Current Market Dynamics &amp; Adoption Trends</w:t>
        <w:br/>
        <w:t>* **Visual Layout:** 4-quadrant benchmark matrix showing market adoption indicators derived from top analyst research.</w:t>
        <w:br/>
        <w:t>* **Body Content:**</w:t>
        <w:br/>
        <w:t xml:space="preserve">  * **PoC to Production:** 70%+ of enterprise leaders prioritize quantifiable ROI over new model testing.</w:t>
        <w:br/>
        <w:t xml:space="preserve">  * **Rise of SLMs:** Shift toward 8B–70B parameter models running in private clouds to optimize latency and costs.</w:t>
        <w:br/>
        <w:t xml:space="preserve">  * **Agentic Automation:** AI capabilities advancing from simple text generation to autonomous task execution.</w:t>
        <w:br/>
        <w:t xml:space="preserve">  * **Regulatory Rigor:** EU AI Act and global frameworks mandate strict audit trails, guardrails, and transparency.</w:t>
        <w:br/>
        <w:t>* **Presenter Notes:** *"Industry benchmarks show clear movement away from general-purpose monolithic models toward specialized, highly secure architectures."*</w:t>
      </w:r>
    </w:p>
    <w:p>
      <w:r>
        <w:t>---</w:t>
      </w:r>
    </w:p>
    <w:p>
      <w:pPr>
        <w:pStyle w:val="Heading1"/>
      </w:pPr>
      <w:r>
        <w:t>Slide 4: Strategic Pillar 1 — Transitioning from PoC to ROI</w:t>
      </w:r>
    </w:p>
    <w:p>
      <w:r>
        <w:t>* **Header / Title:** Delivering Measurable Business Value</w:t>
        <w:br/>
        <w:t>* **Visual Layout:** Side-by-side comparison table: "Yesterday's GenAI (PoC)" vs. "Tomorrow's GenAI (Production Framework)."</w:t>
        <w:br/>
        <w:t>* **Body Content:**</w:t>
        <w:br/>
        <w:t xml:space="preserve">  * **Shift Focus:** From generic chatbots to high-yield workflow automation.</w:t>
        <w:br/>
        <w:t xml:space="preserve">  * **Financial Discipline:** Token/API cost tracking, infrastructure right-sizing, and ROI validation gates.</w:t>
        <w:br/>
        <w:t xml:space="preserve">  * **KPI Alignment:** Tying AI initiatives directly to operational efficiency, throughput, and margin improvement.</w:t>
        <w:br/>
        <w:t>* **Presenter Notes:** *"Every AI initiative in our pipeline must pass a strict value-creation assessment. We are funding solutions with clear payback windows under 12 months."*</w:t>
      </w:r>
    </w:p>
    <w:p>
      <w:r>
        <w:t>---</w:t>
      </w:r>
    </w:p>
    <w:p>
      <w:pPr>
        <w:pStyle w:val="Heading1"/>
      </w:pPr>
      <w:r>
        <w:t>Slide 5: Strategic Pillar 2 — Model Optimization &amp; SLM Strategy</w:t>
      </w:r>
    </w:p>
    <w:p>
      <w:r>
        <w:t>* **Header / Title:** Right-Sizing Intelligence: SLMs vs. LLMs</w:t>
        <w:br/>
        <w:t>* **Visual Layout:** Model Selection Spectrum graphic comparing LLMs (e.g., GPT-4) vs. Domain SLMs (e.g., Llama 3 8B, Phi-3).</w:t>
        <w:br/>
        <w:t>* **Body Content:**</w:t>
        <w:br/>
        <w:t xml:space="preserve">  * **Cost &amp; Performance:** SLMs deliver 80–90% cost reduction for specific tasks with equal or superior accuracy.</w:t>
        <w:br/>
        <w:t xml:space="preserve">  * **Data Privacy:** Local hosting in private cloud guarantees complete control over proprietary IP.</w:t>
        <w:br/>
        <w:t xml:space="preserve">  * **Latency Improvement:** Near-instantaneous response times suitable for real-time customer and operational tools.</w:t>
        <w:br/>
        <w:t>* **Presenter Notes:** *"Not every problem requires a trillion-parameter model. By routing routine tasks to Small Language Models, we protect data privacy and dramatically cut API costs."*</w:t>
      </w:r>
    </w:p>
    <w:p>
      <w:r>
        <w:t>---</w:t>
      </w:r>
    </w:p>
    <w:p>
      <w:pPr>
        <w:pStyle w:val="Heading1"/>
      </w:pPr>
      <w:r>
        <w:t>Slide 6: Strategic Pillar 3 — Advanced Data Integration (GraphRAG)</w:t>
      </w:r>
    </w:p>
    <w:p>
      <w:r>
        <w:t>* **Header / Title:** Unlocking Proprietary Enterprise Knowledge</w:t>
        <w:br/>
        <w:t>* **Visual Layout:** Architectural diagram showing enterprise data sources passing through a Vector + Knowledge Graph layer to an AI model.</w:t>
        <w:br/>
        <w:t>* **Body Content:**</w:t>
        <w:br/>
        <w:t xml:space="preserve">  * **Beyond Standard RAG:** Utilizing GraphRAG to map complex relationships across enterprise databases.</w:t>
        <w:br/>
        <w:t xml:space="preserve">  * **Eliminating Hallucinations:** Grounding model responses strictly in enterprise-verified knowledge bases.</w:t>
        <w:br/>
        <w:t xml:space="preserve">  * **Granular Security:** Enforcing Role-Based Access Control (RBAC) so users only query data they are permitted to view.</w:t>
        <w:br/>
        <w:t>* **Presenter Notes:** *"Data is our moat. Our RAG architecture ensures models draw exclusively from trusted internal databases while maintaining strict permission structures."*</w:t>
      </w:r>
    </w:p>
    <w:p>
      <w:r>
        <w:t>---</w:t>
      </w:r>
    </w:p>
    <w:p>
      <w:pPr>
        <w:pStyle w:val="Heading1"/>
      </w:pPr>
      <w:r>
        <w:t>Slide 7: Strategic Pillar 4 — Autonomous AI Agents &amp; Workflows</w:t>
      </w:r>
    </w:p>
    <w:p>
      <w:r>
        <w:t>* **Header / Title:** Evolution to Action: Autonomous AI Agents</w:t>
        <w:br/>
        <w:t>* **Visual Layout:** Flowchart depicting Multi-Agent Collaboration across enterprise systems (ERP, CRM, HR).</w:t>
        <w:br/>
        <w:t>* **Body Content:**</w:t>
        <w:br/>
        <w:t xml:space="preserve">  * **From Conversation to Execution:** Agents moving beyond text responses to trigger API calls, generate reports, and update database entries.</w:t>
        <w:br/>
        <w:t xml:space="preserve">  * **Multi-Agent Systems:** Specialized agents working together (e.g., Extraction Agent $\rightarrow$ Verification Agent $\rightarrow$ Approval Agent).</w:t>
        <w:br/>
        <w:t xml:space="preserve">  * **Human-in-the-Loop (HITL):** Built-in checkpoints for high-risk operations to ensure governance and safety.</w:t>
        <w:br/>
        <w:t>* **Presenter Notes:** *"The future of enterprise software is agentic. Agents won't just summarize your data—they will orchestrate workflows across your enterprise applications."*</w:t>
      </w:r>
    </w:p>
    <w:p>
      <w:r>
        <w:t>---</w:t>
      </w:r>
    </w:p>
    <w:p>
      <w:pPr>
        <w:pStyle w:val="Heading1"/>
      </w:pPr>
      <w:r>
        <w:t>Slide 8: Strategic Pillar 5 — Multimodal Capability Expansion</w:t>
      </w:r>
    </w:p>
    <w:p>
      <w:r>
        <w:t>* **Header / Title:** Expanding Beyond Text: Multimodal Enterprise Use Cases</w:t>
        <w:br/>
        <w:t>* **Visual Layout:** Icon-driven visual showing inputs (Text, Audio, Documents, Images) merging into automated enterprise outputs.</w:t>
        <w:br/>
        <w:t>* **Body Content:**</w:t>
        <w:br/>
        <w:t xml:space="preserve">  * **Document Processing:** Processing unstructured invoices, architectural diagrams, contracts, and claims automatically.</w:t>
        <w:br/>
        <w:t xml:space="preserve">  * **Voice &amp; Vision Triage:** Enhancing customer support and field operations with voice intelligence and visual inspection tools.</w:t>
        <w:br/>
        <w:t xml:space="preserve">  * **Accelerated Execution:** Reducing document ingestion processing times by up to 80%.</w:t>
        <w:br/>
        <w:t>* **Presenter Notes:** *"Enterprise data isn't just text. Multimodal processing unlocks efficiency across logistics, legal, financial, and field operations."*</w:t>
      </w:r>
    </w:p>
    <w:p>
      <w:r>
        <w:t>---</w:t>
      </w:r>
    </w:p>
    <w:p>
      <w:pPr>
        <w:pStyle w:val="Heading1"/>
      </w:pPr>
      <w:r>
        <w:t>Slide 9: Strategic Pillar 6 — Ecosystem Integration (SaaS vs. Custom Build)</w:t>
      </w:r>
    </w:p>
    <w:p>
      <w:r>
        <w:t>* **Header / Title:** Software Strategy: Embedded SaaS vs. Proprietary AI</w:t>
        <w:br/>
        <w:t>* **Visual Layout:** Decision Framework Matrix evaluating "Native SaaS AI" vs. "Custom Proprietary Build."</w:t>
        <w:br/>
        <w:t>* **Body Content:**</w:t>
        <w:br/>
        <w:t xml:space="preserve">  * **Leverage Native SaaS AI:** Adopt built-in capabilities (Copilots) in platforms like Microsoft 365, Salesforce, and ServiceNow for standard productivity.</w:t>
        <w:br/>
        <w:t xml:space="preserve">  * **Build Custom Proprietary AI:** Reserve custom engineering resources for core intellectual property and unique strategic workflows.</w:t>
        <w:br/>
        <w:t xml:space="preserve">  * **Cost Avoidance:** Prevents reinventing the wheel on commoditized tasks.</w:t>
        <w:br/>
        <w:t>* **Presenter Notes:** *"We balance speed and cost by leveraging embedded AI in existing software licenses, while concentrating engineering talent on custom IP development."*</w:t>
      </w:r>
    </w:p>
    <w:p>
      <w:r>
        <w:t>---</w:t>
      </w:r>
    </w:p>
    <w:p>
      <w:pPr>
        <w:pStyle w:val="Heading1"/>
      </w:pPr>
      <w:r>
        <w:t>Slide 10: Enterprise AI Governance, Security &amp; Compliance</w:t>
      </w:r>
    </w:p>
    <w:p>
      <w:r>
        <w:t>* **Header / Title:** Safeguarded AI: Security, Risk, and Governance</w:t>
        <w:br/>
        <w:t>* **Visual Layout:** Shield graphic with 4 security layers: Guardrails, Shadow AI Prevention, IP Protection, and Regulatory Audit.</w:t>
        <w:br/>
        <w:t>* **Body Content:**</w:t>
        <w:br/>
        <w:t xml:space="preserve">  * **Shadow AI Elimination:** Centralized AI proxy gateways and approved toolkits to prevent unmonitored SaaS usage.</w:t>
        <w:br/>
        <w:t xml:space="preserve">  * **Guardrails &amp; Privacy:** Automated PII redaction and real-time input/output safety checks.</w:t>
        <w:br/>
        <w:t xml:space="preserve">  * **Regulatory Readiness:** Compliance readiness mapping against the EU AI Act, NIST AI RMF, and internal audits.</w:t>
        <w:br/>
        <w:t>* **Presenter Notes:** *"Innovation without control invites unacceptable risk. Our governance model provides safety rails that accelerate safe adoption across every department."*</w:t>
      </w:r>
    </w:p>
    <w:p>
      <w:r>
        <w:t>---</w:t>
      </w:r>
    </w:p>
    <w:p>
      <w:pPr>
        <w:pStyle w:val="Heading1"/>
      </w:pPr>
      <w:r>
        <w:t>Slide 11: 12–18 Month Strategic Implementation Roadmap</w:t>
      </w:r>
    </w:p>
    <w:p>
      <w:r>
        <w:t>* **Header / Title:** Phased Execution Timeline</w:t>
        <w:br/>
        <w:t>* **Visual Layout:** Horizontal timeline divided into Phase 1 (Foundation &amp; Policy), Phase 2 (Targeted SLM &amp; RAG Scaling), and Phase 3 (Multi-Agent Ecosystem).</w:t>
        <w:br/>
        <w:t>* **Body Content:**</w:t>
        <w:br/>
        <w:t xml:space="preserve">  * **Q1–Q2 (Foundation):** Establish AI Center of Excellence (CoE), deploy GraphRAG platform, roll out corporate governance rules.</w:t>
        <w:br/>
        <w:t xml:space="preserve">  * **Q2–Q3 (Scaling):** Fine-tune specialized SLMs, launch departmental Copilots, deploy automated document parsing.</w:t>
        <w:br/>
        <w:t xml:space="preserve">  * **Q4+ (Transformation):** Deploy multi-agent autonomous enterprise orchestrators across core operational units.</w:t>
        <w:br/>
        <w:t>* **Presenter Notes:** *"This structured roadmap balances rapid early wins in the first 90 days with long-term, high-impact enterprise transformation."*</w:t>
      </w:r>
    </w:p>
    <w:p>
      <w:r>
        <w:t>---</w:t>
      </w:r>
    </w:p>
    <w:p>
      <w:pPr>
        <w:pStyle w:val="Heading1"/>
      </w:pPr>
      <w:r>
        <w:t>Slide 12: Financial Projections &amp; Strategic Next Steps</w:t>
      </w:r>
    </w:p>
    <w:p>
      <w:r>
        <w:t>* **Header / Title:** Financial Impact &amp; Recommended Next Actions</w:t>
        <w:br/>
        <w:t>* **Visual Layout:** Financial bar graph charting estimated Cost Savings / Revenue Opportunities vs. Platform Investment, with clear Action Items listed alongside.</w:t>
        <w:br/>
        <w:t>* **Body Content:**</w:t>
        <w:br/>
        <w:t xml:space="preserve">  * **Financial Target:** Projected 3.5x–5x ROI within 18 months through efficiency gains and operational cost savings.</w:t>
        <w:br/>
        <w:t xml:space="preserve">  * **Immediate Action 1:** Authorize AI Governance Steering Committee &amp; Allocate initial Phase 1 budget.</w:t>
        <w:br/>
        <w:t xml:space="preserve">  * **Immediate Action 2:** Finalize enterprise vendor security reviews and baseline API gateways.</w:t>
        <w:br/>
        <w:t xml:space="preserve">  * **Immediate Action 3:** Begin Phase 1 Knowledge Hub &amp; Guardrail Pilot.</w:t>
        <w:br/>
        <w:t>* **Presenter Notes:** *"We recommend formalizing the AI Steering Committee and approving Phase 1 deployment today to capture measurable efficiency gains over the coming quarters."*</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