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Generated Content</w:t>
      </w:r>
    </w:p>
    <w:p>
      <w:pPr>
        <w:pStyle w:val="Heading1"/>
      </w:pPr>
      <w:r>
        <w:t>Generative AI Trends (2024-2025) Proposal and Presentation Deck</w:t>
      </w:r>
    </w:p>
    <w:p>
      <w:pPr>
        <w:pStyle w:val="Heading1"/>
      </w:pPr>
      <w:r>
        <w:t>Part 1: Strategic Project Proposal</w:t>
      </w:r>
    </w:p>
    <w:p>
      <w:pPr>
        <w:pStyle w:val="Heading1"/>
      </w:pPr>
      <w:r>
        <w:t>Executive Summary</w:t>
      </w:r>
    </w:p>
    <w:p>
      <w:r>
        <w:t>Generative AI (GenAI) is transitioning from proof-of-concept experimentation to production-grade enterprise architecture. While 2023 was characterized by broad consumer adoption of conversational interfaces, 2024-2025 is defined by autonomous agency, specialized small models, multimodal reasoning, and stringent enterprise governance.</w:t>
      </w:r>
    </w:p>
    <w:p>
      <w:r>
        <w:t>This project provides a comprehensive roadmap for leveraging these macro-trends to drive operational efficiency, product innovation, and competitive advantage.</w:t>
      </w:r>
    </w:p>
    <w:p>
      <w:pPr>
        <w:pStyle w:val="Heading1"/>
      </w:pPr>
      <w:r>
        <w:t>Key Generative AI Trends (2024-2025)</w:t>
      </w:r>
    </w:p>
    <w:p>
      <w:pPr>
        <w:pStyle w:val="ListBullet"/>
      </w:pPr>
      <w:r>
        <w:t>Agentic Workflows &amp; Autonomous AI Agents: Shift from static prompt-and-response interfaces to goal-driven agents capable of planning, using external tools, running code, and executing multi-step business processes independently.</w:t>
      </w:r>
    </w:p>
    <w:p>
      <w:pPr>
        <w:pStyle w:val="ListBullet"/>
      </w:pPr>
      <w:r>
        <w:t>Multimodal Native Systems: Real-time, low-latency processing across text, voice, vision, and video simultaneously (e.g., GPT-4o, Gemini 1.5 Pro), enabling human-like fluid interactions.</w:t>
      </w:r>
    </w:p>
    <w:p>
      <w:pPr>
        <w:pStyle w:val="ListBullet"/>
      </w:pPr>
      <w:r>
        <w:t>Rise of Small Language Models (SLMs) &amp; On-Device Deployment: Highly fine-tuned open-source and compact models (e.g., Llama 3 8B, Phi-3, Mistral) outperforming older flagship LLMs at a fraction of the compute cost and latency, enabling local/on-device privacy.</w:t>
      </w:r>
    </w:p>
    <w:p>
      <w:pPr>
        <w:pStyle w:val="ListBullet"/>
      </w:pPr>
      <w:r>
        <w:t>Graph-Augmented RAG (GraphRAG) &amp; Enterprise Data Grounding: Moving beyond basic vector search to enterprise knowledge graphs, dramatically reducing hallucinations and enabling complex data relationships across legacy systems.</w:t>
      </w:r>
    </w:p>
    <w:p>
      <w:pPr>
        <w:pStyle w:val="ListBullet"/>
      </w:pPr>
      <w:r>
        <w:t>Advanced Reasoning &amp; Inference-Time Compute: Models optimized for deep chain-of-thought processing (e.g., OpenAI o1 series), enabling complex decision-making in STEM, financial modeling, and software engineering.</w:t>
      </w:r>
    </w:p>
    <w:p>
      <w:pPr>
        <w:pStyle w:val="ListBullet"/>
      </w:pPr>
      <w:r>
        <w:t>AI Governance, Security &amp; TRiSM (Trust, Risk, and Security Management): Mandatory compliance frameworks tackling prompt injection, data leakage, copyright protection, and EU AI Act regulatory requirements.</w:t>
      </w:r>
    </w:p>
    <w:p>
      <w:pPr>
        <w:pStyle w:val="Heading1"/>
      </w:pPr>
      <w:r>
        <w:t>Project Scope &amp; Objectives</w:t>
      </w:r>
    </w:p>
    <w:p>
      <w:pPr>
        <w:pStyle w:val="ListBullet"/>
      </w:pPr>
      <w:r>
        <w:t>Objective 1: Evaluate organizational readiness across key business units for GenAI integration.</w:t>
      </w:r>
    </w:p>
    <w:p>
      <w:pPr>
        <w:pStyle w:val="ListBullet"/>
      </w:pPr>
      <w:r>
        <w:t>Objective 2: Identify top enterprise use cases prioritizing ROI, feasibility, and risk mitigation.</w:t>
      </w:r>
    </w:p>
    <w:p>
      <w:pPr>
        <w:pStyle w:val="ListBullet"/>
      </w:pPr>
      <w:r>
        <w:t>Objective 3: Establish an enterprise-grade GenAI architecture blueprint combining SLMs, Agentic orchestration, and GraphRAG.</w:t>
      </w:r>
    </w:p>
    <w:p>
      <w:pPr>
        <w:pStyle w:val="ListBullet"/>
      </w:pPr>
      <w:r>
        <w:t>Objective 4: Deliver an actionable 12-to-18-month execution roadmap.</w:t>
      </w:r>
    </w:p>
    <w:p>
      <w:pPr>
        <w:pStyle w:val="Heading1"/>
      </w:pPr>
      <w:r>
        <w:t>Part 2: 12-Slide Presentation Blueprint</w:t>
      </w:r>
    </w:p>
    <w:p>
      <w:pPr>
        <w:pStyle w:val="Heading1"/>
      </w:pPr>
      <w:r>
        <w:t>Slide 1: Title Slide</w:t>
      </w:r>
    </w:p>
    <w:p>
      <w:r>
        <w:t>Headline: Driving Enterprise Value with Next-Generation Generative AI</w:t>
      </w:r>
    </w:p>
    <w:p>
      <w:r>
        <w:t>Sub-headline: Trends, Architectural Shifts, and Strategic Execution for 2024-2025</w:t>
      </w:r>
    </w:p>
    <w:p>
      <w:r>
        <w:t>Visual Concept: Minimalist corporate design with modern tech accent lines.</w:t>
      </w:r>
    </w:p>
    <w:p>
      <w:pPr>
        <w:pStyle w:val="ListBullet"/>
      </w:pPr>
      <w:r>
        <w:t>Prepared for: Executive Leadership Team</w:t>
      </w:r>
    </w:p>
    <w:p>
      <w:pPr>
        <w:pStyle w:val="ListBullet"/>
      </w:pPr>
      <w:r>
        <w:t>Date: Q1 2025 Briefing</w:t>
      </w:r>
    </w:p>
    <w:p>
      <w:pPr>
        <w:pStyle w:val="Heading1"/>
      </w:pPr>
      <w:r>
        <w:t>Slide 2: Executive Summary</w:t>
      </w:r>
    </w:p>
    <w:p>
      <w:r>
        <w:t>Headline: The GenAI Landscape Has Shifted from Hype to Value Realization</w:t>
      </w:r>
    </w:p>
    <w:p>
      <w:r>
        <w:t>Key Takeaway: Enterprise GenAI focus has moved from creative text/image generation to workflow automation, autonomous reasoning, and operational efficiency.</w:t>
      </w:r>
    </w:p>
    <w:p>
      <w:pPr>
        <w:pStyle w:val="ListBullet"/>
      </w:pPr>
      <w:r>
        <w:t>2023 Focus: Chatbots, raw LLM capabilities, rapid prototyping.</w:t>
      </w:r>
    </w:p>
    <w:p>
      <w:pPr>
        <w:pStyle w:val="ListBullet"/>
      </w:pPr>
      <w:r>
        <w:t>2024-2025 Focus: AI Agents, custom SLMs, GraphRAG, measurable ROI.</w:t>
      </w:r>
    </w:p>
    <w:p>
      <w:pPr>
        <w:pStyle w:val="ListBullet"/>
      </w:pPr>
      <w:r>
        <w:t>Core Strategic Imperative: Build governed, composable AI capabilities embedded into existing workflows.</w:t>
      </w:r>
    </w:p>
    <w:p>
      <w:pPr>
        <w:pStyle w:val="Heading1"/>
      </w:pPr>
      <w:r>
        <w:t>Slide 3: Macro Landscape - Key Trends Driving 2024-2025</w:t>
      </w:r>
    </w:p>
    <w:p>
      <w:r>
        <w:t>Headline: Six Vectors Reshaping Enterprise AI Strategy</w:t>
      </w:r>
    </w:p>
    <w:p>
      <w:r>
        <w:t>Visual Concept: 6-box grid matrix with distinct icons.</w:t>
      </w:r>
    </w:p>
    <w:p>
      <w:pPr>
        <w:pStyle w:val="ListBullet"/>
      </w:pPr>
      <w:r>
        <w:t>1. Agentic Systems: Multi-agent collaboration replacing simple chat.</w:t>
      </w:r>
    </w:p>
    <w:p>
      <w:pPr>
        <w:pStyle w:val="ListBullet"/>
      </w:pPr>
      <w:r>
        <w:t>2. Multimodality: Real-time speech, audio, and visual processing.</w:t>
      </w:r>
    </w:p>
    <w:p>
      <w:pPr>
        <w:pStyle w:val="ListBullet"/>
      </w:pPr>
      <w:r>
        <w:t>3. Small Language Models: High performance at 80%+ lower token costs.</w:t>
      </w:r>
    </w:p>
    <w:p>
      <w:pPr>
        <w:pStyle w:val="ListBullet"/>
      </w:pPr>
      <w:r>
        <w:t>4. GraphRAG: Deep, structured enterprise memory.</w:t>
      </w:r>
    </w:p>
    <w:p>
      <w:pPr>
        <w:pStyle w:val="ListBullet"/>
      </w:pPr>
      <w:r>
        <w:t>5. Reasoning Models: Advanced problem solving and logic.</w:t>
      </w:r>
    </w:p>
    <w:p>
      <w:pPr>
        <w:pStyle w:val="ListBullet"/>
      </w:pPr>
      <w:r>
        <w:t>6. AI Governance &amp; TRiSM: Regulatory compliance and risk mitigation.</w:t>
      </w:r>
    </w:p>
    <w:p>
      <w:pPr>
        <w:pStyle w:val="Heading1"/>
      </w:pPr>
      <w:r>
        <w:t>Slide 4: Trend 1 - The Rise of Agentic AI Workflows</w:t>
      </w:r>
    </w:p>
    <w:p>
      <w:r>
        <w:t>Headline: Moving from Passive Assistant to Active Co-Worker</w:t>
      </w:r>
    </w:p>
    <w:p>
      <w:r>
        <w:t>Key Takeaway: AI Agents autonomously execute multi-step business logic by connecting to existing enterprise APIs.</w:t>
      </w:r>
    </w:p>
    <w:p>
      <w:pPr>
        <w:pStyle w:val="ListBullet"/>
      </w:pPr>
      <w:r>
        <w:t>Dynamic Planning: Breaking down complex goals into sequential sub-tasks.</w:t>
      </w:r>
    </w:p>
    <w:p>
      <w:pPr>
        <w:pStyle w:val="ListBullet"/>
      </w:pPr>
      <w:r>
        <w:t>Tool Integration: Executing code, querying databases, sending emails, and updating CRM records.</w:t>
      </w:r>
    </w:p>
    <w:p>
      <w:pPr>
        <w:pStyle w:val="ListBullet"/>
      </w:pPr>
      <w:r>
        <w:t>Multi-Agent Systems: Specialized agents collaborating (e.g., Research Agent + Writing Agent + Audit Agent).</w:t>
      </w:r>
    </w:p>
    <w:p>
      <w:pPr>
        <w:pStyle w:val="Heading1"/>
      </w:pPr>
      <w:r>
        <w:t>Slide 5: Trend 2 - Small Language Models (SLMs) &amp; Cost Optimization</w:t>
      </w:r>
    </w:p>
    <w:p>
      <w:r>
        <w:t>Headline: Domain-Specific Efficiency Beats Massive Scale</w:t>
      </w:r>
    </w:p>
    <w:p>
      <w:r>
        <w:t>Key Takeaway: SLMs offer lower latency, enhanced data privacy, and up to 90% cost reduction for targeted enterprise tasks.</w:t>
      </w:r>
    </w:p>
    <w:p>
      <w:r>
        <w:t>Visual Concept: Comparison chart: General LLMs (High Cost, High Latency) vs. Fine-Tuned SLMs (Low Cost, High Speed, High Domain Accuracy).</w:t>
      </w:r>
    </w:p>
    <w:p>
      <w:pPr>
        <w:pStyle w:val="ListBullet"/>
      </w:pPr>
      <w:r>
        <w:t>On-device and edge deployment capabilities.</w:t>
      </w:r>
    </w:p>
    <w:p>
      <w:pPr>
        <w:pStyle w:val="ListBullet"/>
      </w:pPr>
      <w:r>
        <w:t>Fine-tuning on proprietary data ensures higher accuracy for localized tasks.</w:t>
      </w:r>
    </w:p>
    <w:p>
      <w:pPr>
        <w:pStyle w:val="ListBullet"/>
      </w:pPr>
      <w:r>
        <w:t>Reduced carbon footprint and compute constraints.</w:t>
      </w:r>
    </w:p>
    <w:p>
      <w:pPr>
        <w:pStyle w:val="Heading1"/>
      </w:pPr>
      <w:r>
        <w:t>Slide 6: Trend 3 - Enterprise Data Grounding: Hybrid RAG &amp; GraphRAG</w:t>
      </w:r>
    </w:p>
    <w:p>
      <w:r>
        <w:t>Headline: Eliminating Hallucinations via Structured Knowledge Integration</w:t>
      </w:r>
    </w:p>
    <w:p>
      <w:r>
        <w:t>Key Takeaway: Combining Knowledge Graphs with Vector Search provides accurate context for complex enterprise relationships.</w:t>
      </w:r>
    </w:p>
    <w:p>
      <w:pPr>
        <w:pStyle w:val="ListBullet"/>
      </w:pPr>
      <w:r>
        <w:t>Traditional RAG Limit: Struggles with global context and complex relational data.</w:t>
      </w:r>
    </w:p>
    <w:p>
      <w:pPr>
        <w:pStyle w:val="ListBullet"/>
      </w:pPr>
      <w:r>
        <w:t>GraphRAG Solution: Maps entities and relationships to provide holistic enterprise awareness.</w:t>
      </w:r>
    </w:p>
    <w:p>
      <w:pPr>
        <w:pStyle w:val="ListBullet"/>
      </w:pPr>
      <w:r>
        <w:t>Result: Trustworthy automated decision-making and auditability.</w:t>
      </w:r>
    </w:p>
    <w:p>
      <w:pPr>
        <w:pStyle w:val="Heading1"/>
      </w:pPr>
      <w:r>
        <w:t>Slide 7: Trend 4 - Multimodal Native Interaction</w:t>
      </w:r>
    </w:p>
    <w:p>
      <w:r>
        <w:t>Headline: Unifying Text, Audio, Vision, and Video in Real Time</w:t>
      </w:r>
    </w:p>
    <w:p>
      <w:r>
        <w:t>Key Takeaway: Native multimodal capabilities streamline operations across customer experience and asset management.</w:t>
      </w:r>
    </w:p>
    <w:p>
      <w:pPr>
        <w:pStyle w:val="ListBullet"/>
      </w:pPr>
      <w:r>
        <w:t>Conversational Customer Service with human-like latency under 300ms.</w:t>
      </w:r>
    </w:p>
    <w:p>
      <w:pPr>
        <w:pStyle w:val="ListBullet"/>
      </w:pPr>
      <w:r>
        <w:t>Automated visual quality inspection and document understanding.</w:t>
      </w:r>
    </w:p>
    <w:p>
      <w:pPr>
        <w:pStyle w:val="ListBullet"/>
      </w:pPr>
      <w:r>
        <w:t>Contextual analysis across multi-format operational data streams.</w:t>
      </w:r>
    </w:p>
    <w:p>
      <w:pPr>
        <w:pStyle w:val="Heading1"/>
      </w:pPr>
      <w:r>
        <w:t>Slide 8: Trend 5 - Next-Gen Reasoning &amp; Inference-Time Compute</w:t>
      </w:r>
    </w:p>
    <w:p>
      <w:r>
        <w:t>Headline: Solving Complex Logic, Math, and Code Challenges</w:t>
      </w:r>
    </w:p>
    <w:p>
      <w:r>
        <w:t>Key Takeaway: New reasoning paradigms enable automated deep analysis previously restricted to human experts.</w:t>
      </w:r>
    </w:p>
    <w:p>
      <w:pPr>
        <w:pStyle w:val="ListBullet"/>
      </w:pPr>
      <w:r>
        <w:t>Models allocate extra compute time to think through complex problems before answering.</w:t>
      </w:r>
    </w:p>
    <w:p>
      <w:pPr>
        <w:pStyle w:val="ListBullet"/>
      </w:pPr>
      <w:r>
        <w:t>High-value application in financial engineering, supply chain optimization, and software development.</w:t>
      </w:r>
    </w:p>
    <w:p>
      <w:pPr>
        <w:pStyle w:val="ListBullet"/>
      </w:pPr>
      <w:r>
        <w:t>Significant reduction in logical errors in multi-variable business tasks.</w:t>
      </w:r>
    </w:p>
    <w:p>
      <w:pPr>
        <w:pStyle w:val="Heading1"/>
      </w:pPr>
      <w:r>
        <w:t>Slide 9: Trend 6 - AI Governance, Security &amp; TRiSM</w:t>
      </w:r>
    </w:p>
    <w:p>
      <w:r>
        <w:t>Headline: Balancing Innovation with Risk &amp; Regulatory Compliance</w:t>
      </w:r>
    </w:p>
    <w:p>
      <w:r>
        <w:t>Key Takeaway: Enterprise adoption requires robust guardrails, data privacy controls, and policy compliance.</w:t>
      </w:r>
    </w:p>
    <w:p>
      <w:pPr>
        <w:pStyle w:val="ListBullet"/>
      </w:pPr>
      <w:r>
        <w:t>Security: Preventing prompt injections, data poisoning, and unauthorized API access.</w:t>
      </w:r>
    </w:p>
    <w:p>
      <w:pPr>
        <w:pStyle w:val="ListBullet"/>
      </w:pPr>
      <w:r>
        <w:t>Compliance: Aligning with the EU AI Act, NIST frameworks, and industry privacy standards.</w:t>
      </w:r>
    </w:p>
    <w:p>
      <w:pPr>
        <w:pStyle w:val="ListBullet"/>
      </w:pPr>
      <w:r>
        <w:t>Observability: Implementing continuous monitoring for drift, bias, and output accuracy.</w:t>
      </w:r>
    </w:p>
    <w:p>
      <w:pPr>
        <w:pStyle w:val="Heading1"/>
      </w:pPr>
      <w:r>
        <w:t>Slide 10: Value Matrix - High-Impact Enterprise Use Cases</w:t>
      </w:r>
    </w:p>
    <w:p>
      <w:r>
        <w:t>Headline: Prioritizing Investments for Maximum ROI</w:t>
      </w:r>
    </w:p>
    <w:p>
      <w:r>
        <w:t>Visual Concept: 2x2 Impact vs. Feasibility Matrix.</w:t>
      </w:r>
    </w:p>
    <w:p>
      <w:pPr>
        <w:pStyle w:val="ListBullet"/>
      </w:pPr>
      <w:r>
        <w:t>Quick Wins: Internal Knowledge Search (RAG), Automated Code Generation.</w:t>
      </w:r>
    </w:p>
    <w:p>
      <w:pPr>
        <w:pStyle w:val="ListBullet"/>
      </w:pPr>
      <w:r>
        <w:t>Strategic Initiatives: Autonomous Customer Support Agents, Supply Chain Reasoning Engine.</w:t>
      </w:r>
    </w:p>
    <w:p>
      <w:pPr>
        <w:pStyle w:val="ListBullet"/>
      </w:pPr>
      <w:r>
        <w:t>Long-Term Bets: Autonomous Product Design, On-Device edge intelligence.</w:t>
      </w:r>
    </w:p>
    <w:p>
      <w:pPr>
        <w:pStyle w:val="Heading1"/>
      </w:pPr>
      <w:r>
        <w:t>Slide 11: Strategic Implementation Roadmap</w:t>
      </w:r>
    </w:p>
    <w:p>
      <w:r>
        <w:t>Headline: A Phased Approach to Enterprise Integration</w:t>
      </w:r>
    </w:p>
    <w:p>
      <w:r>
        <w:t>Visual Concept: Horizontal 4-Phase Timeline (12 Months).</w:t>
      </w:r>
    </w:p>
    <w:p>
      <w:pPr>
        <w:pStyle w:val="ListBullet"/>
      </w:pPr>
      <w:r>
        <w:t>Phase 1 (Months 1-3): Foundation &amp; Governance - Establish guidelines, complete infrastructure audit, select vendor stack.</w:t>
      </w:r>
    </w:p>
    <w:p>
      <w:pPr>
        <w:pStyle w:val="ListBullet"/>
      </w:pPr>
      <w:r>
        <w:t>Phase 2 (Months 4-6): High-Impact Pilots - Deploy GraphRAG and internal productivity agents.</w:t>
      </w:r>
    </w:p>
    <w:p>
      <w:pPr>
        <w:pStyle w:val="ListBullet"/>
      </w:pPr>
      <w:r>
        <w:t>Phase 3 (Months 7-10): Scale &amp; Fine-Tuning - Deploy specialized SLMs and autonomous business workflows.</w:t>
      </w:r>
    </w:p>
    <w:p>
      <w:pPr>
        <w:pStyle w:val="ListBullet"/>
      </w:pPr>
      <w:r>
        <w:t>Phase 4 (Months 11-12): Optimization - Full integration, continuous monitoring, and ecosystem expansion.</w:t>
      </w:r>
    </w:p>
    <w:p>
      <w:pPr>
        <w:pStyle w:val="Heading1"/>
      </w:pPr>
      <w:r>
        <w:t>Slide 12: Next Steps &amp; Call to Action</w:t>
      </w:r>
    </w:p>
    <w:p>
      <w:r>
        <w:t>Headline: Mobilizing for Execution</w:t>
      </w:r>
    </w:p>
    <w:p>
      <w:r>
        <w:t>Key Takeaway: Immediate operational steps to gain a competitive lead in 2025.</w:t>
      </w:r>
    </w:p>
    <w:p>
      <w:pPr>
        <w:pStyle w:val="ListBullet"/>
      </w:pPr>
      <w:r>
        <w:t>Approve Steering Committee &amp; Governance Framework.</w:t>
      </w:r>
    </w:p>
    <w:p>
      <w:pPr>
        <w:pStyle w:val="ListBullet"/>
      </w:pPr>
      <w:r>
        <w:t>Finalize budget for Phase 1 Infrastructure and Pilot projects.</w:t>
      </w:r>
    </w:p>
    <w:p>
      <w:pPr>
        <w:pStyle w:val="ListBullet"/>
      </w:pPr>
      <w:r>
        <w:t>Launch cross-functional Discovery Workshops across Key Business Units.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