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99657" w14:textId="766397D5" w:rsidR="00554229" w:rsidRDefault="005305A6" w:rsidP="00045A49">
      <w:pPr>
        <w:tabs>
          <w:tab w:val="left" w:pos="3261"/>
        </w:tabs>
        <w:jc w:val="center"/>
        <w:rPr>
          <w:rFonts w:ascii="Times New Roman" w:hAnsi="Times New Roman" w:cs="Times New Roman"/>
          <w:b/>
          <w:bCs/>
          <w:sz w:val="32"/>
          <w:szCs w:val="32"/>
        </w:rPr>
      </w:pPr>
      <w:r w:rsidRPr="00045A49">
        <w:rPr>
          <w:rFonts w:ascii="Times New Roman" w:hAnsi="Times New Roman" w:cs="Times New Roman"/>
          <w:b/>
          <w:bCs/>
          <w:sz w:val="32"/>
          <w:szCs w:val="32"/>
        </w:rPr>
        <w:t>Architecture Document</w:t>
      </w:r>
    </w:p>
    <w:p w14:paraId="63FA71EB" w14:textId="77777777" w:rsidR="00C265B0" w:rsidRPr="00045A49" w:rsidRDefault="00C265B0" w:rsidP="00C265B0">
      <w:pPr>
        <w:pStyle w:val="ListParagraph"/>
        <w:numPr>
          <w:ilvl w:val="0"/>
          <w:numId w:val="1"/>
        </w:numPr>
        <w:spacing w:line="600" w:lineRule="auto"/>
        <w:rPr>
          <w:color w:val="000000" w:themeColor="text1"/>
          <w:kern w:val="24"/>
        </w:rPr>
      </w:pPr>
      <w:r w:rsidRPr="00045A49">
        <w:rPr>
          <w:color w:val="000000" w:themeColor="text1"/>
          <w:kern w:val="24"/>
        </w:rPr>
        <w:t xml:space="preserve">Application </w:t>
      </w:r>
    </w:p>
    <w:p w14:paraId="5C1DEB9E" w14:textId="77777777" w:rsidR="00C265B0" w:rsidRDefault="00C265B0" w:rsidP="00C265B0">
      <w:pPr>
        <w:pStyle w:val="NormalWeb"/>
        <w:numPr>
          <w:ilvl w:val="1"/>
          <w:numId w:val="1"/>
        </w:numPr>
        <w:jc w:val="both"/>
      </w:pPr>
      <w:r>
        <w:t>In this architecture, all modules operate within the same application environment. Although the system is deployed as one application, it is internally divided into logical components such as the ingestion module, data quality computation engine, monitoring dashboard API, and alerting module. These components interact through internal function calls rather than network communication.</w:t>
      </w:r>
    </w:p>
    <w:p w14:paraId="02E4F72D" w14:textId="77777777" w:rsidR="00C265B0" w:rsidRDefault="00C265B0" w:rsidP="00C265B0">
      <w:pPr>
        <w:pStyle w:val="NormalWeb"/>
        <w:numPr>
          <w:ilvl w:val="1"/>
          <w:numId w:val="1"/>
        </w:numPr>
        <w:jc w:val="both"/>
      </w:pPr>
      <w:r>
        <w:t>The application processes survey data in batches. When a batch of survey responses is uploaded by an administrator, the backend validates the data, removes duplicates, computes data quality metrics, and stores the results in the database. These metrics are then displayed in the monitoring dashboard for analysis.</w:t>
      </w:r>
    </w:p>
    <w:p w14:paraId="24EB269B" w14:textId="77777777" w:rsidR="00C265B0" w:rsidRDefault="00C265B0" w:rsidP="00C265B0">
      <w:pPr>
        <w:pStyle w:val="NormalWeb"/>
        <w:numPr>
          <w:ilvl w:val="1"/>
          <w:numId w:val="1"/>
        </w:numPr>
        <w:jc w:val="both"/>
      </w:pPr>
      <w:r>
        <w:t>The monolithic architecture was chosen because it simplifies development and deployment for the current scale of the project. Since all modules are integrated into a single system, data processing and monitoring tasks can be executed efficiently without the complexity of distributed service communication.</w:t>
      </w:r>
    </w:p>
    <w:p w14:paraId="6C34D70F" w14:textId="77777777" w:rsidR="00C265B0" w:rsidRDefault="00C265B0" w:rsidP="00C265B0">
      <w:pPr>
        <w:pStyle w:val="NormalWeb"/>
        <w:numPr>
          <w:ilvl w:val="1"/>
          <w:numId w:val="1"/>
        </w:numPr>
      </w:pPr>
      <w:r>
        <w:t>The architecture contains the following major modules:</w:t>
      </w:r>
    </w:p>
    <w:p w14:paraId="422B479F" w14:textId="77777777" w:rsidR="00C265B0" w:rsidRDefault="00C265B0" w:rsidP="00C265B0">
      <w:pPr>
        <w:pStyle w:val="NormalWeb"/>
        <w:numPr>
          <w:ilvl w:val="2"/>
          <w:numId w:val="1"/>
        </w:numPr>
      </w:pPr>
      <w:r>
        <w:rPr>
          <w:rStyle w:val="Strong"/>
        </w:rPr>
        <w:t>Survey Ingestion Module</w:t>
      </w:r>
      <w:r>
        <w:br/>
        <w:t>Handles survey batch uploads from administrators and validates the input data before processing.</w:t>
      </w:r>
    </w:p>
    <w:p w14:paraId="11676B44" w14:textId="77777777" w:rsidR="00C265B0" w:rsidRDefault="00C265B0" w:rsidP="00C265B0">
      <w:pPr>
        <w:pStyle w:val="NormalWeb"/>
        <w:numPr>
          <w:ilvl w:val="2"/>
          <w:numId w:val="1"/>
        </w:numPr>
      </w:pPr>
      <w:r>
        <w:rPr>
          <w:rStyle w:val="Strong"/>
        </w:rPr>
        <w:t>Data Quality Engine</w:t>
      </w:r>
      <w:r>
        <w:br/>
        <w:t>Computes quality metrics such as completeness, duplicate records, and outlier values after each batch ingestion.</w:t>
      </w:r>
    </w:p>
    <w:p w14:paraId="478AD4A3" w14:textId="77777777" w:rsidR="00C265B0" w:rsidRDefault="00C265B0" w:rsidP="00C265B0">
      <w:pPr>
        <w:pStyle w:val="NormalWeb"/>
        <w:numPr>
          <w:ilvl w:val="2"/>
          <w:numId w:val="1"/>
        </w:numPr>
      </w:pPr>
      <w:r>
        <w:rPr>
          <w:rStyle w:val="Strong"/>
        </w:rPr>
        <w:t>Monitoring Dashboard Module</w:t>
      </w:r>
      <w:r>
        <w:br/>
        <w:t>Provides graphical views and tables that allow administrators to monitor batch-level metrics and investigate specific data issues.</w:t>
      </w:r>
    </w:p>
    <w:p w14:paraId="340C4F40" w14:textId="77777777" w:rsidR="00C265B0" w:rsidRDefault="00C265B0" w:rsidP="00C265B0">
      <w:pPr>
        <w:pStyle w:val="NormalWeb"/>
        <w:numPr>
          <w:ilvl w:val="2"/>
          <w:numId w:val="1"/>
        </w:numPr>
      </w:pPr>
      <w:r>
        <w:rPr>
          <w:rStyle w:val="Strong"/>
        </w:rPr>
        <w:t>Alerting Module</w:t>
      </w:r>
      <w:r>
        <w:br/>
        <w:t>Checks whether computed metrics exceed configured thresholds and triggers notifications when data quality issues are detected.</w:t>
      </w:r>
    </w:p>
    <w:p w14:paraId="57492284" w14:textId="77777777" w:rsidR="00C265B0" w:rsidRDefault="00C265B0" w:rsidP="00C265B0">
      <w:pPr>
        <w:pStyle w:val="NormalWeb"/>
        <w:numPr>
          <w:ilvl w:val="2"/>
          <w:numId w:val="1"/>
        </w:numPr>
      </w:pPr>
      <w:r>
        <w:rPr>
          <w:rStyle w:val="Strong"/>
        </w:rPr>
        <w:t>Configuration Module</w:t>
      </w:r>
      <w:r>
        <w:br/>
        <w:t>Stores threshold values and notification settings used by the alerting system.</w:t>
      </w:r>
    </w:p>
    <w:p w14:paraId="2BBDFABF" w14:textId="77777777" w:rsidR="00C265B0" w:rsidRDefault="00C265B0" w:rsidP="00C265B0">
      <w:pPr>
        <w:pStyle w:val="NormalWeb"/>
        <w:numPr>
          <w:ilvl w:val="1"/>
          <w:numId w:val="1"/>
        </w:numPr>
      </w:pPr>
      <w:r>
        <w:t>This architecture ensures that survey ingestion, data quality evaluation, metric storage, and monitoring are tightly integrated, allowing the system to provide immediate feedback on the quality of incoming data.</w:t>
      </w:r>
    </w:p>
    <w:p w14:paraId="18025146" w14:textId="77777777" w:rsidR="00C265B0" w:rsidRPr="00045A49" w:rsidRDefault="00C265B0" w:rsidP="00C265B0">
      <w:pPr>
        <w:pStyle w:val="ListParagraph"/>
        <w:numPr>
          <w:ilvl w:val="0"/>
          <w:numId w:val="1"/>
        </w:numPr>
        <w:spacing w:line="600" w:lineRule="auto"/>
        <w:rPr>
          <w:color w:val="000000" w:themeColor="text1"/>
          <w:kern w:val="24"/>
        </w:rPr>
      </w:pPr>
      <w:r w:rsidRPr="00045A49">
        <w:rPr>
          <w:color w:val="000000" w:themeColor="text1"/>
          <w:kern w:val="24"/>
        </w:rPr>
        <w:t xml:space="preserve">Database </w:t>
      </w:r>
    </w:p>
    <w:p w14:paraId="2BF4BB81" w14:textId="77777777" w:rsidR="00C265B0" w:rsidRDefault="00C265B0" w:rsidP="00C265B0">
      <w:pPr>
        <w:pStyle w:val="ListParagraph"/>
        <w:numPr>
          <w:ilvl w:val="1"/>
          <w:numId w:val="1"/>
        </w:numPr>
        <w:spacing w:line="600" w:lineRule="auto"/>
        <w:rPr>
          <w:color w:val="000000" w:themeColor="text1"/>
          <w:kern w:val="24"/>
        </w:rPr>
      </w:pPr>
      <w:r w:rsidRPr="00045A49">
        <w:rPr>
          <w:color w:val="000000" w:themeColor="text1"/>
          <w:kern w:val="24"/>
        </w:rPr>
        <w:t xml:space="preserve">ER Diagram </w:t>
      </w:r>
    </w:p>
    <w:p w14:paraId="0D21ED01" w14:textId="69B5888D" w:rsidR="00C265B0" w:rsidRPr="00045A49" w:rsidRDefault="00C265B0" w:rsidP="00C265B0">
      <w:pPr>
        <w:pStyle w:val="ListParagraph"/>
        <w:spacing w:line="600" w:lineRule="auto"/>
        <w:ind w:left="1440"/>
        <w:rPr>
          <w:color w:val="000000" w:themeColor="text1"/>
          <w:kern w:val="24"/>
        </w:rPr>
      </w:pPr>
      <w:r>
        <w:rPr>
          <w:noProof/>
        </w:rPr>
        <w:lastRenderedPageBreak/>
        <w:drawing>
          <wp:inline distT="0" distB="0" distL="0" distR="0" wp14:anchorId="49C68EDD" wp14:editId="36F51277">
            <wp:extent cx="3619442" cy="4308764"/>
            <wp:effectExtent l="0" t="0" r="635" b="0"/>
            <wp:docPr id="9748727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627820" cy="4318738"/>
                    </a:xfrm>
                    <a:prstGeom prst="rect">
                      <a:avLst/>
                    </a:prstGeom>
                    <a:noFill/>
                    <a:ln>
                      <a:noFill/>
                    </a:ln>
                  </pic:spPr>
                </pic:pic>
              </a:graphicData>
            </a:graphic>
          </wp:inline>
        </w:drawing>
      </w:r>
    </w:p>
    <w:p w14:paraId="4D3959AE" w14:textId="0B4D4DCE" w:rsidR="00C265B0" w:rsidRDefault="00C265B0" w:rsidP="00C265B0">
      <w:pPr>
        <w:pStyle w:val="ListParagraph"/>
        <w:numPr>
          <w:ilvl w:val="1"/>
          <w:numId w:val="1"/>
        </w:numPr>
        <w:spacing w:line="600" w:lineRule="auto"/>
        <w:rPr>
          <w:color w:val="000000" w:themeColor="text1"/>
          <w:kern w:val="24"/>
        </w:rPr>
      </w:pPr>
      <w:r w:rsidRPr="00045A49">
        <w:rPr>
          <w:color w:val="000000" w:themeColor="text1"/>
          <w:kern w:val="24"/>
        </w:rPr>
        <w:t xml:space="preserve">Schema Design </w:t>
      </w:r>
    </w:p>
    <w:p w14:paraId="57094363" w14:textId="76A150E4" w:rsidR="00C265B0" w:rsidRPr="00C265B0" w:rsidRDefault="00C265B0" w:rsidP="00C265B0">
      <w:pPr>
        <w:pStyle w:val="ListParagraph"/>
        <w:spacing w:line="600" w:lineRule="auto"/>
        <w:ind w:left="1440"/>
        <w:rPr>
          <w:color w:val="000000" w:themeColor="text1"/>
          <w:kern w:val="24"/>
        </w:rPr>
      </w:pPr>
      <w:r>
        <w:rPr>
          <w:noProof/>
        </w:rPr>
        <w:drawing>
          <wp:inline distT="0" distB="0" distL="0" distR="0" wp14:anchorId="50969695" wp14:editId="7B9C51A5">
            <wp:extent cx="3297382" cy="2498061"/>
            <wp:effectExtent l="0" t="0" r="0" b="0"/>
            <wp:docPr id="1260311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307729" cy="2505900"/>
                    </a:xfrm>
                    <a:prstGeom prst="rect">
                      <a:avLst/>
                    </a:prstGeom>
                    <a:noFill/>
                    <a:ln>
                      <a:noFill/>
                    </a:ln>
                  </pic:spPr>
                </pic:pic>
              </a:graphicData>
            </a:graphic>
          </wp:inline>
        </w:drawing>
      </w:r>
    </w:p>
    <w:p w14:paraId="703632D7" w14:textId="77777777" w:rsidR="00C265B0" w:rsidRPr="00045A49" w:rsidRDefault="00C265B0" w:rsidP="00C265B0">
      <w:pPr>
        <w:pStyle w:val="ListParagraph"/>
        <w:numPr>
          <w:ilvl w:val="0"/>
          <w:numId w:val="1"/>
        </w:numPr>
        <w:spacing w:line="600" w:lineRule="auto"/>
        <w:rPr>
          <w:color w:val="000000" w:themeColor="text1"/>
          <w:kern w:val="24"/>
        </w:rPr>
      </w:pPr>
      <w:r w:rsidRPr="00045A49">
        <w:rPr>
          <w:color w:val="000000" w:themeColor="text1"/>
          <w:kern w:val="24"/>
        </w:rPr>
        <w:t>Data Exchange Contract</w:t>
      </w:r>
    </w:p>
    <w:p w14:paraId="6A495139" w14:textId="77777777" w:rsidR="00C265B0" w:rsidRDefault="00C265B0" w:rsidP="00C265B0">
      <w:pPr>
        <w:pStyle w:val="ListParagraph"/>
        <w:numPr>
          <w:ilvl w:val="1"/>
          <w:numId w:val="1"/>
        </w:numPr>
        <w:spacing w:line="600" w:lineRule="auto"/>
        <w:rPr>
          <w:color w:val="000000" w:themeColor="text1"/>
          <w:kern w:val="24"/>
        </w:rPr>
      </w:pPr>
      <w:r w:rsidRPr="00045A49">
        <w:rPr>
          <w:color w:val="000000" w:themeColor="text1"/>
          <w:kern w:val="24"/>
        </w:rPr>
        <w:t xml:space="preserve">Frequency of data exchanges </w:t>
      </w:r>
    </w:p>
    <w:p w14:paraId="7ABF4168" w14:textId="77777777" w:rsidR="00C265B0" w:rsidRDefault="00C265B0" w:rsidP="00C265B0">
      <w:pPr>
        <w:pStyle w:val="NormalWeb"/>
        <w:numPr>
          <w:ilvl w:val="2"/>
          <w:numId w:val="1"/>
        </w:numPr>
      </w:pPr>
      <w:r>
        <w:t>Different system components exchange data at different times:</w:t>
      </w:r>
    </w:p>
    <w:p w14:paraId="163D3935" w14:textId="77777777" w:rsidR="00C265B0" w:rsidRDefault="00C265B0" w:rsidP="00C265B0">
      <w:pPr>
        <w:pStyle w:val="NormalWeb"/>
        <w:numPr>
          <w:ilvl w:val="2"/>
          <w:numId w:val="1"/>
        </w:numPr>
      </w:pPr>
      <w:r>
        <w:rPr>
          <w:rStyle w:val="Strong"/>
        </w:rPr>
        <w:lastRenderedPageBreak/>
        <w:t>Survey batch ingestion</w:t>
      </w:r>
      <w:r>
        <w:br/>
        <w:t>Occurs whenever an administrator uploads a new dataset.</w:t>
      </w:r>
    </w:p>
    <w:p w14:paraId="45C854A2" w14:textId="77777777" w:rsidR="00C265B0" w:rsidRDefault="00C265B0" w:rsidP="00C265B0">
      <w:pPr>
        <w:pStyle w:val="NormalWeb"/>
        <w:numPr>
          <w:ilvl w:val="2"/>
          <w:numId w:val="1"/>
        </w:numPr>
      </w:pPr>
      <w:r>
        <w:rPr>
          <w:rStyle w:val="Strong"/>
        </w:rPr>
        <w:t>Metric computation</w:t>
      </w:r>
      <w:r>
        <w:br/>
        <w:t>Executed immediately after data ingestion to evaluate data quality.</w:t>
      </w:r>
    </w:p>
    <w:p w14:paraId="3163B567" w14:textId="77777777" w:rsidR="00C265B0" w:rsidRDefault="00C265B0" w:rsidP="00C265B0">
      <w:pPr>
        <w:pStyle w:val="NormalWeb"/>
        <w:numPr>
          <w:ilvl w:val="2"/>
          <w:numId w:val="1"/>
        </w:numPr>
      </w:pPr>
      <w:r>
        <w:rPr>
          <w:rStyle w:val="Strong"/>
        </w:rPr>
        <w:t>Dashboard monitoring requests</w:t>
      </w:r>
      <w:r>
        <w:br/>
        <w:t>Triggered whenever a user opens or refreshes the monitoring dashboard.</w:t>
      </w:r>
    </w:p>
    <w:p w14:paraId="5932EF22" w14:textId="77777777" w:rsidR="00C265B0" w:rsidRDefault="00C265B0" w:rsidP="00C265B0">
      <w:pPr>
        <w:pStyle w:val="NormalWeb"/>
        <w:numPr>
          <w:ilvl w:val="2"/>
          <w:numId w:val="1"/>
        </w:numPr>
      </w:pPr>
      <w:r>
        <w:rPr>
          <w:rStyle w:val="Strong"/>
        </w:rPr>
        <w:t>Batch drill-down requests</w:t>
      </w:r>
      <w:r>
        <w:br/>
        <w:t>Executed when a user selects a specific batch to inspect detailed metrics.</w:t>
      </w:r>
    </w:p>
    <w:p w14:paraId="120CC678" w14:textId="77777777" w:rsidR="00C265B0" w:rsidRDefault="00C265B0" w:rsidP="00C265B0">
      <w:pPr>
        <w:pStyle w:val="NormalWeb"/>
        <w:numPr>
          <w:ilvl w:val="2"/>
          <w:numId w:val="1"/>
        </w:numPr>
      </w:pPr>
      <w:r>
        <w:rPr>
          <w:rStyle w:val="Strong"/>
        </w:rPr>
        <w:t>Alert dispatch</w:t>
      </w:r>
      <w:r>
        <w:br/>
        <w:t>Occurs only when computed metrics exceed configured thresholds.</w:t>
      </w:r>
    </w:p>
    <w:p w14:paraId="0F269847" w14:textId="77777777" w:rsidR="00C265B0" w:rsidRDefault="00C265B0" w:rsidP="00C265B0">
      <w:pPr>
        <w:pStyle w:val="NormalWeb"/>
        <w:numPr>
          <w:ilvl w:val="2"/>
          <w:numId w:val="1"/>
        </w:numPr>
      </w:pPr>
      <w:r>
        <w:rPr>
          <w:rStyle w:val="Strong"/>
        </w:rPr>
        <w:t>Configuration updates</w:t>
      </w:r>
      <w:r>
        <w:br/>
        <w:t>Performed occasionally when administrators modify monitoring settings.</w:t>
      </w:r>
    </w:p>
    <w:p w14:paraId="19BDDFEF" w14:textId="77777777" w:rsidR="00C265B0" w:rsidRDefault="00C265B0" w:rsidP="00C265B0">
      <w:pPr>
        <w:pStyle w:val="ListParagraph"/>
        <w:numPr>
          <w:ilvl w:val="1"/>
          <w:numId w:val="1"/>
        </w:numPr>
        <w:spacing w:line="600" w:lineRule="auto"/>
        <w:rPr>
          <w:color w:val="000000" w:themeColor="text1"/>
          <w:kern w:val="24"/>
        </w:rPr>
      </w:pPr>
      <w:r w:rsidRPr="00045A49">
        <w:rPr>
          <w:color w:val="000000" w:themeColor="text1"/>
          <w:kern w:val="24"/>
        </w:rPr>
        <w:t xml:space="preserve">Data Sets </w:t>
      </w:r>
    </w:p>
    <w:p w14:paraId="0FF2EFEC" w14:textId="77777777" w:rsidR="00C265B0" w:rsidRDefault="00C265B0" w:rsidP="00C265B0">
      <w:pPr>
        <w:pStyle w:val="NormalWeb"/>
        <w:numPr>
          <w:ilvl w:val="2"/>
          <w:numId w:val="1"/>
        </w:numPr>
      </w:pPr>
      <w:r>
        <w:rPr>
          <w:rStyle w:val="Strong"/>
        </w:rPr>
        <w:t>Survey Batch Data</w:t>
      </w:r>
      <w:r>
        <w:br/>
        <w:t>Raw survey records uploaded by administrators.</w:t>
      </w:r>
    </w:p>
    <w:p w14:paraId="75EAF4B1" w14:textId="77777777" w:rsidR="00C265B0" w:rsidRDefault="00C265B0" w:rsidP="00C265B0">
      <w:pPr>
        <w:pStyle w:val="NormalWeb"/>
        <w:numPr>
          <w:ilvl w:val="2"/>
          <w:numId w:val="1"/>
        </w:numPr>
      </w:pPr>
      <w:r>
        <w:rPr>
          <w:rStyle w:val="Strong"/>
        </w:rPr>
        <w:t>Batch Quality Metrics</w:t>
      </w:r>
      <w:r>
        <w:br/>
        <w:t>Summary statistics describing overall batch data quality.</w:t>
      </w:r>
    </w:p>
    <w:p w14:paraId="51BA20D6" w14:textId="77777777" w:rsidR="00C265B0" w:rsidRDefault="00C265B0" w:rsidP="00C265B0">
      <w:pPr>
        <w:pStyle w:val="NormalWeb"/>
        <w:numPr>
          <w:ilvl w:val="2"/>
          <w:numId w:val="1"/>
        </w:numPr>
      </w:pPr>
      <w:r>
        <w:rPr>
          <w:rStyle w:val="Strong"/>
        </w:rPr>
        <w:t>Field Quality Metrics</w:t>
      </w:r>
      <w:r>
        <w:br/>
        <w:t>Detailed metrics for each field in a batch.</w:t>
      </w:r>
    </w:p>
    <w:p w14:paraId="6C8A995E" w14:textId="77777777" w:rsidR="00C265B0" w:rsidRDefault="00C265B0" w:rsidP="00C265B0">
      <w:pPr>
        <w:pStyle w:val="NormalWeb"/>
        <w:numPr>
          <w:ilvl w:val="2"/>
          <w:numId w:val="1"/>
        </w:numPr>
      </w:pPr>
      <w:r>
        <w:rPr>
          <w:rStyle w:val="Strong"/>
        </w:rPr>
        <w:t>Alert Configuration Data</w:t>
      </w:r>
      <w:r>
        <w:br/>
        <w:t>Threshold values and notification settings.</w:t>
      </w:r>
    </w:p>
    <w:p w14:paraId="1C2A8D02" w14:textId="77777777" w:rsidR="00C265B0" w:rsidRDefault="00C265B0" w:rsidP="00C265B0">
      <w:pPr>
        <w:pStyle w:val="NormalWeb"/>
        <w:numPr>
          <w:ilvl w:val="2"/>
          <w:numId w:val="1"/>
        </w:numPr>
      </w:pPr>
      <w:r>
        <w:rPr>
          <w:rStyle w:val="Strong"/>
        </w:rPr>
        <w:t>Alert Event Data</w:t>
      </w:r>
      <w:r>
        <w:br/>
        <w:t>Information about threshold violations.</w:t>
      </w:r>
    </w:p>
    <w:p w14:paraId="277041E5" w14:textId="77777777" w:rsidR="00C265B0" w:rsidRDefault="00C265B0" w:rsidP="00C265B0">
      <w:pPr>
        <w:pStyle w:val="NormalWeb"/>
        <w:numPr>
          <w:ilvl w:val="2"/>
          <w:numId w:val="1"/>
        </w:numPr>
      </w:pPr>
      <w:r>
        <w:rPr>
          <w:rStyle w:val="Strong"/>
        </w:rPr>
        <w:t>Dashboard Monitoring Data</w:t>
      </w:r>
      <w:r>
        <w:br/>
        <w:t>Aggregated metrics used for visualization.</w:t>
      </w:r>
    </w:p>
    <w:p w14:paraId="6F15A133" w14:textId="623F889B" w:rsidR="00C265B0" w:rsidRDefault="00C265B0" w:rsidP="00C265B0">
      <w:pPr>
        <w:pStyle w:val="NormalWeb"/>
        <w:numPr>
          <w:ilvl w:val="2"/>
          <w:numId w:val="1"/>
        </w:numPr>
      </w:pPr>
      <w:r>
        <w:rPr>
          <w:rStyle w:val="Strong"/>
        </w:rPr>
        <w:t>Batch Drill-Down Data</w:t>
      </w:r>
      <w:r>
        <w:br/>
        <w:t>Detailed metrics and alert history for a selected batch.</w:t>
      </w:r>
    </w:p>
    <w:p w14:paraId="577ACEF1" w14:textId="77777777" w:rsidR="00C265B0" w:rsidRPr="00C265B0" w:rsidRDefault="00C265B0" w:rsidP="00C265B0">
      <w:pPr>
        <w:pStyle w:val="NormalWeb"/>
        <w:ind w:left="2160"/>
      </w:pPr>
    </w:p>
    <w:p w14:paraId="2444A0B4" w14:textId="77777777" w:rsidR="00C265B0" w:rsidRDefault="00C265B0" w:rsidP="00C265B0">
      <w:pPr>
        <w:pStyle w:val="ListParagraph"/>
        <w:numPr>
          <w:ilvl w:val="1"/>
          <w:numId w:val="1"/>
        </w:numPr>
        <w:spacing w:line="600" w:lineRule="auto"/>
        <w:rPr>
          <w:color w:val="000000" w:themeColor="text1"/>
          <w:kern w:val="24"/>
        </w:rPr>
      </w:pPr>
      <w:r w:rsidRPr="00045A49">
        <w:rPr>
          <w:color w:val="000000" w:themeColor="text1"/>
          <w:kern w:val="24"/>
        </w:rPr>
        <w:t xml:space="preserve">Mode of Exchanges (API, File, Queue etc.,) </w:t>
      </w:r>
    </w:p>
    <w:p w14:paraId="0BE77F02" w14:textId="77777777" w:rsidR="00C265B0" w:rsidRDefault="00C265B0" w:rsidP="00C265B0">
      <w:pPr>
        <w:pStyle w:val="NormalWeb"/>
        <w:numPr>
          <w:ilvl w:val="2"/>
          <w:numId w:val="1"/>
        </w:numPr>
      </w:pPr>
      <w:r>
        <w:t>The system uses several data exchange mechanisms:</w:t>
      </w:r>
    </w:p>
    <w:p w14:paraId="4B00253A" w14:textId="77777777" w:rsidR="00C265B0" w:rsidRDefault="00C265B0" w:rsidP="00C265B0">
      <w:pPr>
        <w:pStyle w:val="NormalWeb"/>
        <w:numPr>
          <w:ilvl w:val="2"/>
          <w:numId w:val="1"/>
        </w:numPr>
      </w:pPr>
      <w:r>
        <w:rPr>
          <w:rStyle w:val="Strong"/>
        </w:rPr>
        <w:t>REST APIs (JSON)</w:t>
      </w:r>
      <w:r>
        <w:br/>
        <w:t>Used for communication between frontend and backend components.</w:t>
      </w:r>
    </w:p>
    <w:p w14:paraId="5FA0F012" w14:textId="77777777" w:rsidR="00C265B0" w:rsidRDefault="00C265B0" w:rsidP="00C265B0">
      <w:pPr>
        <w:pStyle w:val="NormalWeb"/>
        <w:numPr>
          <w:ilvl w:val="2"/>
          <w:numId w:val="1"/>
        </w:numPr>
      </w:pPr>
      <w:r>
        <w:rPr>
          <w:rStyle w:val="Strong"/>
        </w:rPr>
        <w:t>Database Transactions (SQL)</w:t>
      </w:r>
      <w:r>
        <w:br/>
        <w:t>Used to store survey data, quality metrics, and alerts.</w:t>
      </w:r>
    </w:p>
    <w:p w14:paraId="3C26BFC0" w14:textId="77777777" w:rsidR="00C265B0" w:rsidRDefault="00C265B0" w:rsidP="00C265B0">
      <w:pPr>
        <w:pStyle w:val="NormalWeb"/>
        <w:numPr>
          <w:ilvl w:val="2"/>
          <w:numId w:val="1"/>
        </w:numPr>
      </w:pPr>
      <w:r>
        <w:rPr>
          <w:rStyle w:val="Strong"/>
        </w:rPr>
        <w:t>Webhook Calls (HTTPS POST)</w:t>
      </w:r>
      <w:r>
        <w:br/>
        <w:t>Used to send notifications to external systems such as Slack or monitoring services.</w:t>
      </w:r>
    </w:p>
    <w:p w14:paraId="16409B36" w14:textId="0A5DF339" w:rsidR="005305A6" w:rsidRPr="00C265B0" w:rsidRDefault="005305A6" w:rsidP="00C265B0">
      <w:pPr>
        <w:pStyle w:val="NormalWeb"/>
        <w:tabs>
          <w:tab w:val="left" w:pos="3261"/>
        </w:tabs>
        <w:spacing w:line="600" w:lineRule="auto"/>
        <w:ind w:left="2160"/>
        <w:rPr>
          <w:b/>
          <w:bCs/>
        </w:rPr>
      </w:pPr>
    </w:p>
    <w:sectPr w:rsidR="005305A6" w:rsidRPr="00C265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25D36"/>
    <w:multiLevelType w:val="hybridMultilevel"/>
    <w:tmpl w:val="5BDEEC78"/>
    <w:lvl w:ilvl="0" w:tplc="59D0F07E">
      <w:start w:val="1"/>
      <w:numFmt w:val="decimal"/>
      <w:lvlText w:val="%1."/>
      <w:lvlJc w:val="left"/>
      <w:pPr>
        <w:tabs>
          <w:tab w:val="num" w:pos="720"/>
        </w:tabs>
        <w:ind w:left="720" w:hanging="360"/>
      </w:pPr>
    </w:lvl>
    <w:lvl w:ilvl="1" w:tplc="9F283776">
      <w:start w:val="1"/>
      <w:numFmt w:val="decimal"/>
      <w:lvlText w:val="%2."/>
      <w:lvlJc w:val="left"/>
      <w:pPr>
        <w:tabs>
          <w:tab w:val="num" w:pos="1440"/>
        </w:tabs>
        <w:ind w:left="1440" w:hanging="360"/>
      </w:pPr>
    </w:lvl>
    <w:lvl w:ilvl="2" w:tplc="2B5E3AA6" w:tentative="1">
      <w:start w:val="1"/>
      <w:numFmt w:val="decimal"/>
      <w:lvlText w:val="%3."/>
      <w:lvlJc w:val="left"/>
      <w:pPr>
        <w:tabs>
          <w:tab w:val="num" w:pos="2160"/>
        </w:tabs>
        <w:ind w:left="2160" w:hanging="360"/>
      </w:pPr>
    </w:lvl>
    <w:lvl w:ilvl="3" w:tplc="44DC298C" w:tentative="1">
      <w:start w:val="1"/>
      <w:numFmt w:val="decimal"/>
      <w:lvlText w:val="%4."/>
      <w:lvlJc w:val="left"/>
      <w:pPr>
        <w:tabs>
          <w:tab w:val="num" w:pos="2880"/>
        </w:tabs>
        <w:ind w:left="2880" w:hanging="360"/>
      </w:pPr>
    </w:lvl>
    <w:lvl w:ilvl="4" w:tplc="53A2DC98" w:tentative="1">
      <w:start w:val="1"/>
      <w:numFmt w:val="decimal"/>
      <w:lvlText w:val="%5."/>
      <w:lvlJc w:val="left"/>
      <w:pPr>
        <w:tabs>
          <w:tab w:val="num" w:pos="3600"/>
        </w:tabs>
        <w:ind w:left="3600" w:hanging="360"/>
      </w:pPr>
    </w:lvl>
    <w:lvl w:ilvl="5" w:tplc="32B6B912" w:tentative="1">
      <w:start w:val="1"/>
      <w:numFmt w:val="decimal"/>
      <w:lvlText w:val="%6."/>
      <w:lvlJc w:val="left"/>
      <w:pPr>
        <w:tabs>
          <w:tab w:val="num" w:pos="4320"/>
        </w:tabs>
        <w:ind w:left="4320" w:hanging="360"/>
      </w:pPr>
    </w:lvl>
    <w:lvl w:ilvl="6" w:tplc="959A981E" w:tentative="1">
      <w:start w:val="1"/>
      <w:numFmt w:val="decimal"/>
      <w:lvlText w:val="%7."/>
      <w:lvlJc w:val="left"/>
      <w:pPr>
        <w:tabs>
          <w:tab w:val="num" w:pos="5040"/>
        </w:tabs>
        <w:ind w:left="5040" w:hanging="360"/>
      </w:pPr>
    </w:lvl>
    <w:lvl w:ilvl="7" w:tplc="3EC45556" w:tentative="1">
      <w:start w:val="1"/>
      <w:numFmt w:val="decimal"/>
      <w:lvlText w:val="%8."/>
      <w:lvlJc w:val="left"/>
      <w:pPr>
        <w:tabs>
          <w:tab w:val="num" w:pos="5760"/>
        </w:tabs>
        <w:ind w:left="5760" w:hanging="360"/>
      </w:pPr>
    </w:lvl>
    <w:lvl w:ilvl="8" w:tplc="40927136" w:tentative="1">
      <w:start w:val="1"/>
      <w:numFmt w:val="decimal"/>
      <w:lvlText w:val="%9."/>
      <w:lvlJc w:val="left"/>
      <w:pPr>
        <w:tabs>
          <w:tab w:val="num" w:pos="6480"/>
        </w:tabs>
        <w:ind w:left="6480" w:hanging="360"/>
      </w:pPr>
    </w:lvl>
  </w:abstractNum>
  <w:abstractNum w:abstractNumId="1" w15:restartNumberingAfterBreak="0">
    <w:nsid w:val="56F966BA"/>
    <w:multiLevelType w:val="hybridMultilevel"/>
    <w:tmpl w:val="688C4D5E"/>
    <w:lvl w:ilvl="0" w:tplc="729E9586">
      <w:start w:val="1"/>
      <w:numFmt w:val="decimal"/>
      <w:lvlText w:val="%1."/>
      <w:lvlJc w:val="left"/>
      <w:pPr>
        <w:tabs>
          <w:tab w:val="num" w:pos="720"/>
        </w:tabs>
        <w:ind w:left="720" w:hanging="360"/>
      </w:pPr>
    </w:lvl>
    <w:lvl w:ilvl="1" w:tplc="A64C3BC4">
      <w:start w:val="1"/>
      <w:numFmt w:val="decimal"/>
      <w:lvlText w:val="%2."/>
      <w:lvlJc w:val="left"/>
      <w:pPr>
        <w:tabs>
          <w:tab w:val="num" w:pos="1440"/>
        </w:tabs>
        <w:ind w:left="1440" w:hanging="360"/>
      </w:pPr>
    </w:lvl>
    <w:lvl w:ilvl="2" w:tplc="2262626C">
      <w:start w:val="1"/>
      <w:numFmt w:val="decimal"/>
      <w:lvlText w:val="%3."/>
      <w:lvlJc w:val="left"/>
      <w:pPr>
        <w:tabs>
          <w:tab w:val="num" w:pos="2160"/>
        </w:tabs>
        <w:ind w:left="2160" w:hanging="360"/>
      </w:pPr>
    </w:lvl>
    <w:lvl w:ilvl="3" w:tplc="42729486" w:tentative="1">
      <w:start w:val="1"/>
      <w:numFmt w:val="decimal"/>
      <w:lvlText w:val="%4."/>
      <w:lvlJc w:val="left"/>
      <w:pPr>
        <w:tabs>
          <w:tab w:val="num" w:pos="2880"/>
        </w:tabs>
        <w:ind w:left="2880" w:hanging="360"/>
      </w:pPr>
    </w:lvl>
    <w:lvl w:ilvl="4" w:tplc="7B004038" w:tentative="1">
      <w:start w:val="1"/>
      <w:numFmt w:val="decimal"/>
      <w:lvlText w:val="%5."/>
      <w:lvlJc w:val="left"/>
      <w:pPr>
        <w:tabs>
          <w:tab w:val="num" w:pos="3600"/>
        </w:tabs>
        <w:ind w:left="3600" w:hanging="360"/>
      </w:pPr>
    </w:lvl>
    <w:lvl w:ilvl="5" w:tplc="1038AD2A" w:tentative="1">
      <w:start w:val="1"/>
      <w:numFmt w:val="decimal"/>
      <w:lvlText w:val="%6."/>
      <w:lvlJc w:val="left"/>
      <w:pPr>
        <w:tabs>
          <w:tab w:val="num" w:pos="4320"/>
        </w:tabs>
        <w:ind w:left="4320" w:hanging="360"/>
      </w:pPr>
    </w:lvl>
    <w:lvl w:ilvl="6" w:tplc="CA722798" w:tentative="1">
      <w:start w:val="1"/>
      <w:numFmt w:val="decimal"/>
      <w:lvlText w:val="%7."/>
      <w:lvlJc w:val="left"/>
      <w:pPr>
        <w:tabs>
          <w:tab w:val="num" w:pos="5040"/>
        </w:tabs>
        <w:ind w:left="5040" w:hanging="360"/>
      </w:pPr>
    </w:lvl>
    <w:lvl w:ilvl="7" w:tplc="7F86E0B8" w:tentative="1">
      <w:start w:val="1"/>
      <w:numFmt w:val="decimal"/>
      <w:lvlText w:val="%8."/>
      <w:lvlJc w:val="left"/>
      <w:pPr>
        <w:tabs>
          <w:tab w:val="num" w:pos="5760"/>
        </w:tabs>
        <w:ind w:left="5760" w:hanging="360"/>
      </w:pPr>
    </w:lvl>
    <w:lvl w:ilvl="8" w:tplc="8FEE4308" w:tentative="1">
      <w:start w:val="1"/>
      <w:numFmt w:val="decimal"/>
      <w:lvlText w:val="%9."/>
      <w:lvlJc w:val="left"/>
      <w:pPr>
        <w:tabs>
          <w:tab w:val="num" w:pos="6480"/>
        </w:tabs>
        <w:ind w:left="6480" w:hanging="360"/>
      </w:pPr>
    </w:lvl>
  </w:abstractNum>
  <w:num w:numId="1" w16cid:durableId="2035765787">
    <w:abstractNumId w:val="1"/>
  </w:num>
  <w:num w:numId="2" w16cid:durableId="1198205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5A6"/>
    <w:rsid w:val="00045A49"/>
    <w:rsid w:val="00202A9B"/>
    <w:rsid w:val="0021493C"/>
    <w:rsid w:val="002360D6"/>
    <w:rsid w:val="005305A6"/>
    <w:rsid w:val="00554229"/>
    <w:rsid w:val="00581C52"/>
    <w:rsid w:val="00675B15"/>
    <w:rsid w:val="006A6B12"/>
    <w:rsid w:val="007C6D47"/>
    <w:rsid w:val="008F4AAF"/>
    <w:rsid w:val="00903011"/>
    <w:rsid w:val="009D3511"/>
    <w:rsid w:val="00A06956"/>
    <w:rsid w:val="00B47906"/>
    <w:rsid w:val="00C0717C"/>
    <w:rsid w:val="00C265B0"/>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CD5EC8"/>
  <w15:chartTrackingRefBased/>
  <w15:docId w15:val="{6162E2F4-F761-41CA-9536-8B05ADE5B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305A6"/>
    <w:pPr>
      <w:spacing w:after="0" w:line="240" w:lineRule="auto"/>
      <w:ind w:left="720"/>
      <w:contextualSpacing/>
    </w:pPr>
    <w:rPr>
      <w:rFonts w:ascii="Times New Roman" w:eastAsiaTheme="minorEastAsia" w:hAnsi="Times New Roman" w:cs="Times New Roman"/>
      <w:kern w:val="0"/>
      <w:sz w:val="24"/>
      <w:szCs w:val="24"/>
      <w:lang w:eastAsia="en-IN"/>
      <w14:ligatures w14:val="none"/>
    </w:rPr>
  </w:style>
  <w:style w:type="paragraph" w:styleId="NormalWeb">
    <w:name w:val="Normal (Web)"/>
    <w:basedOn w:val="Normal"/>
    <w:uiPriority w:val="99"/>
    <w:unhideWhenUsed/>
    <w:rsid w:val="008F4AA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C265B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526</Words>
  <Characters>3004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senthil kumar</dc:creator>
  <cp:keywords/>
  <dc:description/>
  <cp:lastModifiedBy>Atharv Dobhal</cp:lastModifiedBy>
  <cp:revision>4</cp:revision>
  <dcterms:created xsi:type="dcterms:W3CDTF">2024-08-22T09:23:00Z</dcterms:created>
  <dcterms:modified xsi:type="dcterms:W3CDTF">2026-03-06T19:08:00Z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dcebe0fe-b728-433d-b179-b237aaa59903</vt:lpwstr>
  </property>
</Properties>
</file>