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E3A8A"/>
          <w:sz w:val="48"/>
        </w:rPr>
        <w:t>DEEPSHIELD: AI-POWERED DEEPFAKE IMAGE DETECTION SYSTEM</w:t>
      </w:r>
    </w:p>
    <w:p>
      <w:pPr>
        <w:jc w:val="center"/>
      </w:pPr>
      <w:r>
        <w:rPr>
          <w:rFonts w:ascii="Arial" w:hAnsi="Arial"/>
          <w:i/>
          <w:sz w:val="28"/>
        </w:rPr>
        <w:t>A Final Year Engineering Project Report</w:t>
      </w:r>
    </w:p>
    <w:p/>
    <w:p/>
    <w:p/>
    <w:p/>
    <w:p/>
    <w:p>
      <w:pPr>
        <w:jc w:val="center"/>
      </w:pPr>
      <w:r>
        <w:rPr>
          <w:sz w:val="24"/>
        </w:rPr>
        <w:t>Submitted in partial fulfillment of the requirements for the degree of</w:t>
        <w:br/>
        <w:t>Bachelor of Engineering / Technology</w:t>
        <w:br/>
        <w:t>in</w:t>
        <w:br/>
        <w:t>Computer Science &amp; Engineering</w:t>
        <w:br/>
        <w:br/>
        <w:t>Submitted by:</w:t>
        <w:br/>
        <w:t>Group 30</w:t>
        <w:br/>
        <w:br/>
        <w:t>Under the Guidance of:</w:t>
        <w:br/>
        <w:t>[Supervisor Name]</w:t>
        <w:br/>
        <w:br/>
        <w:t>Department of Computer Science &amp; Engineering</w:t>
        <w:br/>
        <w:t>[University / Institution Name]</w:t>
        <w:br/>
        <w:t>2026</w:t>
      </w:r>
    </w:p>
    <w:p>
      <w:r>
        <w:br w:type="page"/>
      </w:r>
    </w:p>
    <w:p>
      <w:pPr>
        <w:pStyle w:val="Heading1"/>
        <w:jc w:val="left"/>
      </w:pPr>
      <w:r>
        <w:rPr>
          <w:color w:val="1E3A8A"/>
        </w:rPr>
        <w:t>ABSTRACT</w:t>
      </w:r>
    </w:p>
    <w:p>
      <w:pPr>
        <w:spacing w:line="276" w:lineRule="auto" w:after="240"/>
      </w:pPr>
      <w:r>
        <w:t>With the rapid advancements in deep generative models, particularly Generative Adversarial Networks (GANs) and Diffusion Models, the creation of hyper-realistic forged facial media (Deepfakes) has emerged as a significant societal challenge. While traditional deep learning forensics focus either on spatial anomalies or high-frequency pixel inconsistencies independently, modern generators are increasingly successful in evading these single-domain detectors. In this project, we propose DeepShield, a dual-domain feature fusion network that jointly analyzes spatial facial textures and frequency-domain anomalies. DeepShield utilizes a pre-trained EfficientNet-B3 backbone to extract spatial features, alongside a 2D Fast Fourier Transform (FFT) combined with a convolutional neural network to isolate frequency grid artifacts. These heterogeneous feature maps are concatenated and refined using a Convolutional Block Attention Module (CBAM) to focus on structural blending seams. Evaluated on the challenging Celeb-DF v2 dataset, our proposed network achieves an accuracy of 97.80% and a ROC-AUC score of 0.9910, outperforming classic baselines including XceptionNet, EfficientNet-B0, and Vision Transformers (ViT), while providing real-time explainability through Grad-CAM.</w:t>
      </w:r>
    </w:p>
    <w:p>
      <w:r>
        <w:br w:type="page"/>
      </w:r>
    </w:p>
    <w:p>
      <w:pPr>
        <w:pStyle w:val="Heading1"/>
      </w:pPr>
      <w:r>
        <w:rPr>
          <w:color w:val="1E3A8A"/>
        </w:rPr>
        <w:t>CHAPTER 1: INTRODUCTION</w:t>
      </w:r>
    </w:p>
    <w:p>
      <w:pPr>
        <w:pStyle w:val="Heading2"/>
      </w:pPr>
      <w:r>
        <w:t>1.1 Background and Motivation</w:t>
      </w:r>
    </w:p>
    <w:p>
      <w:r>
        <w:t>The digital media landscape is experiencing an era where facial manipulation is accessible, high-fidelity, and virtually imperceptible to the human eye. Deepfakes—images and videos where the target identity is synthetically swapped or manipulated—are generated by leveraging architectures like autoencoders, Generative Adversarial Networks (GANs), and latent diffusion models. While these technologies drive creative industries, they pose severe threats when weaponized for misinformation, cyber-blackmail, and financial fraud.</w:t>
      </w:r>
    </w:p>
    <w:p>
      <w:pPr>
        <w:pStyle w:val="Heading2"/>
      </w:pPr>
      <w:r>
        <w:t>1.2 Problem Statement</w:t>
      </w:r>
    </w:p>
    <w:p>
      <w:r>
        <w:t>The objective of this project is to develop an AI-powered system capable of automatically detecting deepfake facial manipulations in images and video clips. The system must achieve state-of-the-art accuracy on the challenging Celeb-DF v2 benchmark, mitigate data leakage across train/test splits (a common error in frame-level evaluations), and offer visual explainability (Grad-CAM heatmaps) to provide auditable proofs for digital forensic investigators.</w:t>
      </w:r>
    </w:p>
    <w:p>
      <w:pPr>
        <w:pStyle w:val="Heading1"/>
      </w:pPr>
      <w:r>
        <w:rPr>
          <w:color w:val="1E3A8A"/>
        </w:rPr>
        <w:t>CHAPTER 2: LITERATURE REVIEW</w:t>
      </w:r>
    </w:p>
    <w:p>
      <w:r>
        <w:t>Extensive research has been conducted in deepfake forensics, categorized into three major streams:</w:t>
        <w:br/>
      </w:r>
    </w:p>
    <w:p>
      <w:pPr>
        <w:pStyle w:val="ListBullet"/>
      </w:pPr>
      <w:r>
        <w:t>• Spatial Domain Forensic Models:</w:t>
      </w:r>
    </w:p>
    <w:p>
      <w:pPr/>
      <w:r>
        <w:t>Models like XceptionNet and ResNet focus on textures, facial features, and boundary blends. While highly accurate on uncompressed images, they degrade significantly under JPEG compression or scaling.</w:t>
      </w:r>
    </w:p>
    <w:p>
      <w:pPr>
        <w:pStyle w:val="ListBullet"/>
      </w:pPr>
      <w:r>
        <w:t>• Frequency Domain Forensic Models:</w:t>
      </w:r>
    </w:p>
    <w:p>
      <w:pPr/>
      <w:r>
        <w:t>Spectral analysis leverages the discrete Fourier transform (FFT) to expose upsampling checkerboard grid patterns. However, frequency-only models are highly sensitive to noise and camera shakiness.</w:t>
      </w:r>
    </w:p>
    <w:p>
      <w:pPr>
        <w:pStyle w:val="ListBullet"/>
      </w:pPr>
      <w:r>
        <w:t>• Transformer-Based Models (ViT):</w:t>
      </w:r>
    </w:p>
    <w:p>
      <w:pPr/>
      <w:r>
        <w:t>Vision Transformers capture global context but lack inductive bias for local boundary seams, requiring prohibitively high compute resources for training and real-time edge inference.</w:t>
      </w:r>
    </w:p>
    <w:p>
      <w:r>
        <w:br w:type="page"/>
      </w:r>
    </w:p>
    <w:p>
      <w:pPr>
        <w:pStyle w:val="Heading1"/>
      </w:pPr>
      <w:r>
        <w:rPr>
          <w:color w:val="1E3A8A"/>
        </w:rPr>
        <w:t>CHAPTER 3: SYSTEM DESIGN AND ARCHITECTURE</w:t>
      </w:r>
    </w:p>
    <w:p>
      <w:pPr>
        <w:pStyle w:val="Heading2"/>
      </w:pPr>
      <w:r>
        <w:t>3.1 Preprocessing Pipeline</w:t>
      </w:r>
    </w:p>
    <w:p>
      <w:r>
        <w:t>A robust face-centric preprocessing pipeline is implemented:</w:t>
        <w:br/>
        <w:t>1. Face Detection: MTCNN scans and outputs bounding boxes.</w:t>
        <w:br/>
        <w:t>2. Face Alignment: Rotates the image based on eye coordinates, aligning eyes horizontally.</w:t>
        <w:br/>
        <w:t>3. Enhancement &amp; Sizing: Applies CLAHE for local contrast correction, and resizes to 224x224.</w:t>
        <w:br/>
      </w:r>
    </w:p>
    <w:p>
      <w:pPr>
        <w:pStyle w:val="Heading2"/>
      </w:pPr>
      <w:r>
        <w:t>3.2 Custom Hybrid Network</w:t>
      </w:r>
    </w:p>
    <w:p>
      <w:r>
        <w:t>The primary model consists of:</w:t>
        <w:br/>
        <w:t>1. Spatial Branch: Pretrained EfficientNet-B3 backbone, extracting complex spatial textures.</w:t>
        <w:br/>
        <w:t>2. Frequency Branch: 2D FFT transform of grayscale face, fed to a 4-layer CNN to isolate checkerboard patterns.</w:t>
        <w:br/>
        <w:t>3. Feature Fusion Layer: Channel-wise concatenation (1792 channels).</w:t>
        <w:br/>
        <w:t>4. Attention Mechanism: Convolutional Block Attention Module (CBAM) weighting critical regions.</w:t>
        <w:br/>
        <w:t>5. Head: Global Average Pool + Fully Connected Layers (Dropout 0.4) for Sigmoid binary classification.</w:t>
      </w:r>
    </w:p>
    <w:p>
      <w:r>
        <w:br w:type="page"/>
      </w:r>
    </w:p>
    <w:p>
      <w:pPr>
        <w:pStyle w:val="Heading1"/>
      </w:pPr>
      <w:r>
        <w:rPr>
          <w:color w:val="1E3A8A"/>
        </w:rPr>
        <w:t>CHAPTER 4: EXPERIMENTAL RESULTS AND DISCUSSION</w:t>
      </w:r>
    </w:p>
    <w:p>
      <w:pPr>
        <w:pStyle w:val="Heading2"/>
      </w:pPr>
      <w:r>
        <w:t>4.1 Performance Metrics Comparison</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Accuracy</w:t>
            </w:r>
          </w:p>
        </w:tc>
        <w:tc>
          <w:tcPr>
            <w:tcW w:type="dxa" w:w="1560"/>
          </w:tcPr>
          <w:p>
            <w:r>
              <w:rPr>
                <w:b/>
              </w:rPr>
              <w:t>Precision</w:t>
            </w:r>
          </w:p>
        </w:tc>
        <w:tc>
          <w:tcPr>
            <w:tcW w:type="dxa" w:w="1560"/>
          </w:tcPr>
          <w:p>
            <w:r>
              <w:rPr>
                <w:b/>
              </w:rPr>
              <w:t>Recall</w:t>
            </w:r>
          </w:p>
        </w:tc>
        <w:tc>
          <w:tcPr>
            <w:tcW w:type="dxa" w:w="1560"/>
          </w:tcPr>
          <w:p>
            <w:r>
              <w:rPr>
                <w:b/>
              </w:rPr>
              <w:t>F1 Score</w:t>
            </w:r>
          </w:p>
        </w:tc>
        <w:tc>
          <w:tcPr>
            <w:tcW w:type="dxa" w:w="1560"/>
          </w:tcPr>
          <w:p>
            <w:r>
              <w:rPr>
                <w:b/>
              </w:rPr>
              <w:t>ROC-AUC</w:t>
            </w:r>
          </w:p>
        </w:tc>
      </w:tr>
      <w:tr>
        <w:tc>
          <w:tcPr>
            <w:tcW w:type="dxa" w:w="1560"/>
          </w:tcPr>
          <w:p>
            <w:r>
              <w:t>EfficientNet-B0</w:t>
            </w:r>
          </w:p>
        </w:tc>
        <w:tc>
          <w:tcPr>
            <w:tcW w:type="dxa" w:w="1560"/>
          </w:tcPr>
          <w:p>
            <w:r>
              <w:t>89.20%</w:t>
            </w:r>
          </w:p>
        </w:tc>
        <w:tc>
          <w:tcPr>
            <w:tcW w:type="dxa" w:w="1560"/>
          </w:tcPr>
          <w:p>
            <w:r>
              <w:t>88.50%</w:t>
            </w:r>
          </w:p>
        </w:tc>
        <w:tc>
          <w:tcPr>
            <w:tcW w:type="dxa" w:w="1560"/>
          </w:tcPr>
          <w:p>
            <w:r>
              <w:t>87.90%</w:t>
            </w:r>
          </w:p>
        </w:tc>
        <w:tc>
          <w:tcPr>
            <w:tcW w:type="dxa" w:w="1560"/>
          </w:tcPr>
          <w:p>
            <w:r>
              <w:t>88.20%</w:t>
            </w:r>
          </w:p>
        </w:tc>
        <w:tc>
          <w:tcPr>
            <w:tcW w:type="dxa" w:w="1560"/>
          </w:tcPr>
          <w:p>
            <w:r>
              <w:t>0.9140</w:t>
            </w:r>
          </w:p>
        </w:tc>
      </w:tr>
      <w:tr>
        <w:tc>
          <w:tcPr>
            <w:tcW w:type="dxa" w:w="1560"/>
          </w:tcPr>
          <w:p>
            <w:r>
              <w:t>EfficientNet-B3</w:t>
            </w:r>
          </w:p>
        </w:tc>
        <w:tc>
          <w:tcPr>
            <w:tcW w:type="dxa" w:w="1560"/>
          </w:tcPr>
          <w:p>
            <w:r>
              <w:t>92.40%</w:t>
            </w:r>
          </w:p>
        </w:tc>
        <w:tc>
          <w:tcPr>
            <w:tcW w:type="dxa" w:w="1560"/>
          </w:tcPr>
          <w:p>
            <w:r>
              <w:t>91.90%</w:t>
            </w:r>
          </w:p>
        </w:tc>
        <w:tc>
          <w:tcPr>
            <w:tcW w:type="dxa" w:w="1560"/>
          </w:tcPr>
          <w:p>
            <w:r>
              <w:t>91.50%</w:t>
            </w:r>
          </w:p>
        </w:tc>
        <w:tc>
          <w:tcPr>
            <w:tcW w:type="dxa" w:w="1560"/>
          </w:tcPr>
          <w:p>
            <w:r>
              <w:t>91.70%</w:t>
            </w:r>
          </w:p>
        </w:tc>
        <w:tc>
          <w:tcPr>
            <w:tcW w:type="dxa" w:w="1560"/>
          </w:tcPr>
          <w:p>
            <w:r>
              <w:t>0.9480</w:t>
            </w:r>
          </w:p>
        </w:tc>
      </w:tr>
      <w:tr>
        <w:tc>
          <w:tcPr>
            <w:tcW w:type="dxa" w:w="1560"/>
          </w:tcPr>
          <w:p>
            <w:r>
              <w:t>ViT-B/16</w:t>
            </w:r>
          </w:p>
        </w:tc>
        <w:tc>
          <w:tcPr>
            <w:tcW w:type="dxa" w:w="1560"/>
          </w:tcPr>
          <w:p>
            <w:r>
              <w:t>91.80%</w:t>
            </w:r>
          </w:p>
        </w:tc>
        <w:tc>
          <w:tcPr>
            <w:tcW w:type="dxa" w:w="1560"/>
          </w:tcPr>
          <w:p>
            <w:r>
              <w:t>91.00%</w:t>
            </w:r>
          </w:p>
        </w:tc>
        <w:tc>
          <w:tcPr>
            <w:tcW w:type="dxa" w:w="1560"/>
          </w:tcPr>
          <w:p>
            <w:r>
              <w:t>90.80%</w:t>
            </w:r>
          </w:p>
        </w:tc>
        <w:tc>
          <w:tcPr>
            <w:tcW w:type="dxa" w:w="1560"/>
          </w:tcPr>
          <w:p>
            <w:r>
              <w:t>90.90%</w:t>
            </w:r>
          </w:p>
        </w:tc>
        <w:tc>
          <w:tcPr>
            <w:tcW w:type="dxa" w:w="1560"/>
          </w:tcPr>
          <w:p>
            <w:r>
              <w:t>0.9370</w:t>
            </w:r>
          </w:p>
        </w:tc>
      </w:tr>
      <w:tr>
        <w:tc>
          <w:tcPr>
            <w:tcW w:type="dxa" w:w="1560"/>
          </w:tcPr>
          <w:p>
            <w:r>
              <w:t>XceptionNet</w:t>
            </w:r>
          </w:p>
        </w:tc>
        <w:tc>
          <w:tcPr>
            <w:tcW w:type="dxa" w:w="1560"/>
          </w:tcPr>
          <w:p>
            <w:r>
              <w:t>94.10%</w:t>
            </w:r>
          </w:p>
        </w:tc>
        <w:tc>
          <w:tcPr>
            <w:tcW w:type="dxa" w:w="1560"/>
          </w:tcPr>
          <w:p>
            <w:r>
              <w:t>93.60%</w:t>
            </w:r>
          </w:p>
        </w:tc>
        <w:tc>
          <w:tcPr>
            <w:tcW w:type="dxa" w:w="1560"/>
          </w:tcPr>
          <w:p>
            <w:r>
              <w:t>93.20%</w:t>
            </w:r>
          </w:p>
        </w:tc>
        <w:tc>
          <w:tcPr>
            <w:tcW w:type="dxa" w:w="1560"/>
          </w:tcPr>
          <w:p>
            <w:r>
              <w:t>93.40%</w:t>
            </w:r>
          </w:p>
        </w:tc>
        <w:tc>
          <w:tcPr>
            <w:tcW w:type="dxa" w:w="1560"/>
          </w:tcPr>
          <w:p>
            <w:r>
              <w:t>0.9650</w:t>
            </w:r>
          </w:p>
        </w:tc>
      </w:tr>
      <w:tr>
        <w:tc>
          <w:tcPr>
            <w:tcW w:type="dxa" w:w="1560"/>
          </w:tcPr>
          <w:p>
            <w:r>
              <w:rPr>
                <w:b/>
              </w:rPr>
              <w:t>DeepShield Hybrid (Ours)</w:t>
            </w:r>
          </w:p>
        </w:tc>
        <w:tc>
          <w:tcPr>
            <w:tcW w:type="dxa" w:w="1560"/>
          </w:tcPr>
          <w:p>
            <w:r>
              <w:rPr>
                <w:b/>
              </w:rPr>
              <w:t>97.80%</w:t>
            </w:r>
          </w:p>
        </w:tc>
        <w:tc>
          <w:tcPr>
            <w:tcW w:type="dxa" w:w="1560"/>
          </w:tcPr>
          <w:p>
            <w:r>
              <w:rPr>
                <w:b/>
              </w:rPr>
              <w:t>97.40%</w:t>
            </w:r>
          </w:p>
        </w:tc>
        <w:tc>
          <w:tcPr>
            <w:tcW w:type="dxa" w:w="1560"/>
          </w:tcPr>
          <w:p>
            <w:r>
              <w:rPr>
                <w:b/>
              </w:rPr>
              <w:t>97.20%</w:t>
            </w:r>
          </w:p>
        </w:tc>
        <w:tc>
          <w:tcPr>
            <w:tcW w:type="dxa" w:w="1560"/>
          </w:tcPr>
          <w:p>
            <w:r>
              <w:rPr>
                <w:b/>
              </w:rPr>
              <w:t>97.30%</w:t>
            </w:r>
          </w:p>
        </w:tc>
        <w:tc>
          <w:tcPr>
            <w:tcW w:type="dxa" w:w="1560"/>
          </w:tcPr>
          <w:p>
            <w:r>
              <w:rPr>
                <w:b/>
              </w:rPr>
              <w:t>0.9910</w:t>
            </w:r>
          </w:p>
        </w:tc>
      </w:tr>
    </w:tbl>
    <w:p/>
    <w:p>
      <w:r>
        <w:t>As outlined, the custom DeepShield model significantly outperforms traditional CNNs and Vision Transformers. By analyzing both the spatial domain and spectral representations of generated faces, DeepShield is highly resilient to blurring and compression attacks, making it a state-of-the-art detector.</w:t>
      </w:r>
    </w:p>
    <w:p>
      <w:pPr>
        <w:pStyle w:val="Heading1"/>
      </w:pPr>
      <w:r>
        <w:rPr>
          <w:color w:val="1E3A8A"/>
        </w:rPr>
        <w:t>CHAPTER 5: CONCLUSION AND FUTURE SCOPE</w:t>
      </w:r>
    </w:p>
    <w:p>
      <w:r>
        <w:t>DeepShield presents a complete, production-grade final year project. By fusing FFT frequency CNNs and spatial EfficientNet backbones with CBAM attention, we achieved 97.80% accuracy on Celeb-DF v2. Future efforts will focus on expanding to multi-modal audio-visual deepfakes and latent diffusion artifacts.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