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2"/>
          <w:szCs w:val="52"/>
        </w:rPr>
        <w:t xml:space="preserve">PROMPT ENGINEERING FRAMEWORKS</w:t>
      </w:r>
    </w:p>
    <w:p>
      <w:pPr>
        <w:spacing w:after="100" w:before="200"/>
        <w:jc w:val="center"/>
      </w:pPr>
      <w:r>
        <w:rPr>
          <w:b/>
          <w:bCs/>
          <w:color w:val="2E74B5"/>
          <w:sz w:val="30"/>
          <w:szCs w:val="30"/>
        </w:rPr>
        <w:t xml:space="preserve">A Comprehensive Research Compendium</w:t>
      </w:r>
    </w:p>
    <w:p>
      <w:pPr>
        <w:spacing w:after="800"/>
        <w:jc w:val="center"/>
      </w:pPr>
      <w:r>
        <w:rPr>
          <w:i/>
          <w:iCs/>
          <w:color w:val="595959"/>
          <w:sz w:val="22"/>
          <w:szCs w:val="22"/>
        </w:rPr>
        <w:t xml:space="preserve">Acronym Frameworks · Core Techniques · Multi-Agent Systems · Domain Applications</w:t>
      </w:r>
    </w:p>
    <w:p>
      <w:pPr>
        <w:spacing w:before="2000"/>
        <w:jc w:val="center"/>
      </w:pPr>
      <w:r>
        <w:rPr>
          <w:color w:val="595959"/>
          <w:sz w:val="20"/>
          <w:szCs w:val="20"/>
        </w:rPr>
        <w:t xml:space="preserve">Prepared: July 2026</w:t>
      </w:r>
    </w:p>
    <w:p>
      <w:r>
        <w:br w:type="page"/>
      </w:r>
    </w:p>
    <w:p>
      <w:pPr>
        <w:pStyle w:val="Heading1"/>
        <w:spacing w:after="200" w:before="400"/>
      </w:pPr>
      <w:r>
        <w:t xml:space="preserve">Table of Contents</w:t>
      </w:r>
    </w:p>
    <w:p>
      <w:pPr>
        <w:spacing w:after="120"/>
        <w:ind w:left="0"/>
      </w:pPr>
      <w:r>
        <w:rPr>
          <w:b/>
          <w:bCs/>
          <w:sz w:val="22"/>
          <w:szCs w:val="22"/>
        </w:rPr>
        <w:t xml:space="preserve">1. Introduction</w:t>
      </w:r>
      <w:ptab w:alignment="right" w:relativeTo="margin" w:leader="dot"/>
      <w:r>
        <w:rPr>
          <w:sz w:val="22"/>
          <w:szCs w:val="22"/>
        </w:rPr>
        <w:t xml:space="preserve">3</w:t>
      </w:r>
    </w:p>
    <w:p>
      <w:pPr>
        <w:spacing w:after="120"/>
        <w:ind w:left="0"/>
      </w:pPr>
      <w:r>
        <w:rPr>
          <w:b/>
          <w:bCs/>
          <w:sz w:val="22"/>
          <w:szCs w:val="22"/>
        </w:rPr>
        <w:t xml:space="preserve">2. Foundational Acronym Frameworks</w:t>
      </w:r>
      <w:ptab w:alignment="right" w:relativeTo="margin" w:leader="dot"/>
      <w:r>
        <w:rPr>
          <w:sz w:val="22"/>
          <w:szCs w:val="22"/>
        </w:rPr>
        <w:t xml:space="preserve">3</w:t>
      </w:r>
    </w:p>
    <w:p>
      <w:pPr>
        <w:spacing w:after="120"/>
        <w:ind w:left="0"/>
      </w:pPr>
      <w:r>
        <w:rPr>
          <w:b/>
          <w:bCs/>
          <w:sz w:val="22"/>
          <w:szCs w:val="22"/>
        </w:rPr>
        <w:t xml:space="preserve">3. Creativity &amp; Content Frameworks</w:t>
      </w:r>
      <w:ptab w:alignment="right" w:relativeTo="margin" w:leader="dot"/>
      <w:r>
        <w:rPr>
          <w:sz w:val="22"/>
          <w:szCs w:val="22"/>
        </w:rPr>
        <w:t xml:space="preserve">3</w:t>
      </w:r>
    </w:p>
    <w:p>
      <w:pPr>
        <w:spacing w:after="120"/>
        <w:ind w:left="0"/>
      </w:pPr>
      <w:r>
        <w:rPr>
          <w:b/>
          <w:bCs/>
          <w:sz w:val="22"/>
          <w:szCs w:val="22"/>
        </w:rPr>
        <w:t xml:space="preserve">4. Analysis &amp; Research-Oriented Frameworks</w:t>
      </w:r>
      <w:ptab w:alignment="right" w:relativeTo="margin" w:leader="dot"/>
      <w:r>
        <w:rPr>
          <w:sz w:val="22"/>
          <w:szCs w:val="22"/>
        </w:rPr>
        <w:t xml:space="preserve">4</w:t>
      </w:r>
    </w:p>
    <w:p>
      <w:pPr>
        <w:spacing w:after="120"/>
        <w:ind w:left="0"/>
      </w:pPr>
      <w:r>
        <w:rPr>
          <w:b/>
          <w:bCs/>
          <w:sz w:val="22"/>
          <w:szCs w:val="22"/>
        </w:rPr>
        <w:t xml:space="preserve">5. Specialized &amp; Enterprise Frameworks</w:t>
      </w:r>
      <w:ptab w:alignment="right" w:relativeTo="margin" w:leader="dot"/>
      <w:r>
        <w:rPr>
          <w:sz w:val="22"/>
          <w:szCs w:val="22"/>
        </w:rPr>
        <w:t xml:space="preserve">4</w:t>
      </w:r>
    </w:p>
    <w:p>
      <w:pPr>
        <w:spacing w:after="120"/>
        <w:ind w:left="0"/>
      </w:pPr>
      <w:r>
        <w:rPr>
          <w:b/>
          <w:bCs/>
          <w:sz w:val="22"/>
          <w:szCs w:val="22"/>
        </w:rPr>
        <w:t xml:space="preserve">6. Domain-Specific Frameworks</w:t>
      </w:r>
      <w:ptab w:alignment="right" w:relativeTo="margin" w:leader="dot"/>
      <w:r>
        <w:rPr>
          <w:sz w:val="22"/>
          <w:szCs w:val="22"/>
        </w:rPr>
        <w:t xml:space="preserve">5</w:t>
      </w:r>
    </w:p>
    <w:p>
      <w:pPr>
        <w:spacing w:after="120"/>
        <w:ind w:left="0"/>
      </w:pPr>
      <w:r>
        <w:rPr>
          <w:b/>
          <w:bCs/>
          <w:sz w:val="22"/>
          <w:szCs w:val="22"/>
        </w:rPr>
        <w:t xml:space="preserve">7. Core Prompting Techniques (Research-Backed)</w:t>
      </w:r>
      <w:ptab w:alignment="right" w:relativeTo="margin" w:leader="dot"/>
      <w:r>
        <w:rPr>
          <w:sz w:val="22"/>
          <w:szCs w:val="22"/>
        </w:rPr>
        <w:t xml:space="preserve">5</w:t>
      </w:r>
    </w:p>
    <w:p>
      <w:pPr>
        <w:spacing w:after="120"/>
        <w:ind w:left="0"/>
      </w:pPr>
      <w:r>
        <w:rPr>
          <w:b/>
          <w:bCs/>
          <w:sz w:val="22"/>
          <w:szCs w:val="22"/>
        </w:rPr>
        <w:t xml:space="preserve">8. Multi-Agent, Verification &amp; Debate Patterns</w:t>
      </w:r>
      <w:ptab w:alignment="right" w:relativeTo="margin" w:leader="dot"/>
      <w:r>
        <w:rPr>
          <w:sz w:val="22"/>
          <w:szCs w:val="22"/>
        </w:rPr>
        <w:t xml:space="preserve">6</w:t>
      </w:r>
    </w:p>
    <w:p>
      <w:pPr>
        <w:spacing w:after="120"/>
        <w:ind w:left="0"/>
      </w:pPr>
      <w:r>
        <w:rPr>
          <w:b/>
          <w:bCs/>
          <w:sz w:val="22"/>
          <w:szCs w:val="22"/>
        </w:rPr>
        <w:t xml:space="preserve">9. Decomposition &amp; Planning Patterns</w:t>
      </w:r>
      <w:ptab w:alignment="right" w:relativeTo="margin" w:leader="dot"/>
      <w:r>
        <w:rPr>
          <w:sz w:val="22"/>
          <w:szCs w:val="22"/>
        </w:rPr>
        <w:t xml:space="preserve">6</w:t>
      </w:r>
    </w:p>
    <w:p>
      <w:pPr>
        <w:spacing w:after="120"/>
        <w:ind w:left="0"/>
      </w:pPr>
      <w:r>
        <w:rPr>
          <w:b/>
          <w:bCs/>
          <w:sz w:val="22"/>
          <w:szCs w:val="22"/>
        </w:rPr>
        <w:t xml:space="preserve">10. Retrieval &amp; Grounding Patterns</w:t>
      </w:r>
      <w:ptab w:alignment="right" w:relativeTo="margin" w:leader="dot"/>
      <w:r>
        <w:rPr>
          <w:sz w:val="22"/>
          <w:szCs w:val="22"/>
        </w:rPr>
        <w:t xml:space="preserve">7</w:t>
      </w:r>
    </w:p>
    <w:p>
      <w:pPr>
        <w:spacing w:after="120"/>
        <w:ind w:left="0"/>
      </w:pPr>
      <w:r>
        <w:rPr>
          <w:b/>
          <w:bCs/>
          <w:sz w:val="22"/>
          <w:szCs w:val="22"/>
        </w:rPr>
        <w:t xml:space="preserve">11. Output Control &amp; Formatting</w:t>
      </w:r>
      <w:ptab w:alignment="right" w:relativeTo="margin" w:leader="dot"/>
      <w:r>
        <w:rPr>
          <w:sz w:val="22"/>
          <w:szCs w:val="22"/>
        </w:rPr>
        <w:t xml:space="preserve">7</w:t>
      </w:r>
    </w:p>
    <w:p>
      <w:pPr>
        <w:spacing w:after="120"/>
        <w:ind w:left="0"/>
      </w:pPr>
      <w:r>
        <w:rPr>
          <w:b/>
          <w:bCs/>
          <w:sz w:val="22"/>
          <w:szCs w:val="22"/>
        </w:rPr>
        <w:t xml:space="preserve">12. Safety, Reliability &amp; Evaluation Prompts</w:t>
      </w:r>
      <w:ptab w:alignment="right" w:relativeTo="margin" w:leader="dot"/>
      <w:r>
        <w:rPr>
          <w:sz w:val="22"/>
          <w:szCs w:val="22"/>
        </w:rPr>
        <w:t xml:space="preserve">7</w:t>
      </w:r>
    </w:p>
    <w:p>
      <w:pPr>
        <w:spacing w:after="120"/>
        <w:ind w:left="0"/>
      </w:pPr>
      <w:r>
        <w:rPr>
          <w:b/>
          <w:bCs/>
          <w:sz w:val="22"/>
          <w:szCs w:val="22"/>
        </w:rPr>
        <w:t xml:space="preserve">13. Choosing a Framework: A Practical Decision Guide</w:t>
      </w:r>
      <w:ptab w:alignment="right" w:relativeTo="margin" w:leader="dot"/>
      <w:r>
        <w:rPr>
          <w:sz w:val="22"/>
          <w:szCs w:val="22"/>
        </w:rPr>
        <w:t xml:space="preserve">7</w:t>
      </w:r>
    </w:p>
    <w:p>
      <w:pPr>
        <w:spacing w:after="120"/>
        <w:ind w:left="0"/>
      </w:pPr>
      <w:r>
        <w:rPr>
          <w:b/>
          <w:bCs/>
          <w:sz w:val="22"/>
          <w:szCs w:val="22"/>
        </w:rPr>
        <w:t xml:space="preserve">14. Key Sources for Further Reading</w:t>
      </w:r>
      <w:ptab w:alignment="right" w:relativeTo="margin" w:leader="dot"/>
      <w:r>
        <w:rPr>
          <w:sz w:val="22"/>
          <w:szCs w:val="22"/>
        </w:rPr>
        <w:t xml:space="preserve">8</w:t>
      </w:r>
    </w:p>
    <w:p>
      <w:pPr>
        <w:spacing w:after="120"/>
        <w:ind w:left="0"/>
      </w:pPr>
      <w:r>
        <w:rPr>
          <w:b/>
          <w:bCs/>
          <w:sz w:val="22"/>
          <w:szCs w:val="22"/>
        </w:rPr>
        <w:t xml:space="preserve">15. Conclusion</w:t>
      </w:r>
      <w:ptab w:alignment="right" w:relativeTo="margin" w:leader="dot"/>
      <w:r>
        <w:rPr>
          <w:sz w:val="22"/>
          <w:szCs w:val="22"/>
        </w:rPr>
        <w:t xml:space="preserve">8</w:t>
      </w:r>
    </w:p>
    <w:p>
      <w:r>
        <w:br w:type="page"/>
      </w:r>
    </w:p>
    <w:p>
      <w:pPr>
        <w:pStyle w:val="Heading1"/>
        <w:spacing w:after="200" w:before="400"/>
      </w:pPr>
      <w:r>
        <w:t xml:space="preserve">1. Introduction</w:t>
      </w:r>
    </w:p>
    <w:p>
      <w:pPr>
        <w:spacing w:after="160"/>
        <w:jc w:val="both"/>
      </w:pPr>
      <w:r>
        <w:t xml:space="preserve">Prompt engineering has matured from ad-hoc trial-and-error into a discipline with recognizable structural patterns. Two broad currents dominate the field today. The first is the acronym-style checklist framework — memorable mnemonics such as RACE, COSTAR, or CLEAR that package the essential ingredients of a good prompt (role, context, task, constraints, examples, format) into an easy-to-recall shape. The second is the research-backed technique — approaches such as Chain-of-Thought, ReAct, or Self-Consistency that emerged from peer-reviewed experiments and measurably change how a model reasons, retrieves, or verifies its own output.</w:t>
      </w:r>
    </w:p>
    <w:p>
      <w:pPr>
        <w:spacing w:after="160"/>
        <w:jc w:val="both"/>
      </w:pPr>
      <w:r>
        <w:t xml:space="preserve">This document consolidates both currents into a single reference. It catalogs over 100 named frameworks and techniques, groups them by function, and — in the closing section — offers practical guidance on which pattern to reach for depending on the task at hand. The intent is to move past "collecting acronyms" toward a usable decision tool.</w:t>
      </w:r>
    </w:p>
    <w:p>
      <w:pPr>
        <w:spacing w:after="200"/>
      </w:pPr>
      <w:r>
        <w:rPr>
          <w:i/>
          <w:iCs/>
          <w:color w:val="595959"/>
          <w:sz w:val="20"/>
          <w:szCs w:val="20"/>
        </w:rPr>
        <w:t xml:space="preserve">Note on naming collisions: several acronyms (e.g., RACE, CARE, CLEAR, COAST, TRACE) are used by different authors with slightly different expansions. Where this occurs, the most commonly cited expansion is used and the variant is noted.</w:t>
      </w:r>
    </w:p>
    <w:p>
      <w:pPr>
        <w:pStyle w:val="Heading1"/>
        <w:spacing w:after="200" w:before="400"/>
      </w:pPr>
      <w:r>
        <w:t xml:space="preserve">2. Foundational Acronym Frameworks</w:t>
      </w:r>
    </w:p>
    <w:p>
      <w:pPr>
        <w:spacing w:after="160"/>
        <w:jc w:val="both"/>
      </w:pPr>
      <w:r>
        <w:t xml:space="preserve">These are the most widely taught, general-purpose checklist frameworks. They are best suited to everyday prompting where a quick, reliable structure matters more than domain nuance.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3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Framework</w:t>
            </w:r>
          </w:p>
        </w:tc>
        <w:tc>
          <w:tcPr>
            <w:tcW w:type="dxa" w:w="3600"/>
            <w:shd w:fill="1F3864" w:val="clear"/>
            <w:tcMar>
              <w:top w:type="dxa" w:w="80"/>
              <w:left w:type="dxa" w:w="100"/>
              <w:bottom w:type="dxa" w:w="80"/>
              <w:right w:type="dxa" w:w="100"/>
            </w:tcMar>
          </w:tcPr>
          <w:p>
            <w:r>
              <w:rPr>
                <w:b/>
                <w:bCs/>
                <w:color w:val="FFFFFF"/>
                <w:sz w:val="20"/>
                <w:szCs w:val="20"/>
              </w:rPr>
              <w:t xml:space="preserve">Components</w:t>
            </w:r>
          </w:p>
        </w:tc>
        <w:tc>
          <w:tcPr>
            <w:tcW w:type="dxa" w:w="4300"/>
            <w:shd w:fill="1F3864" w:val="clear"/>
            <w:tcMar>
              <w:top w:type="dxa" w:w="80"/>
              <w:left w:type="dxa" w:w="100"/>
              <w:bottom w:type="dxa" w:w="80"/>
              <w:right w:type="dxa" w:w="100"/>
            </w:tcMar>
          </w:tcPr>
          <w:p>
            <w:r>
              <w:rPr>
                <w:b/>
                <w:bCs/>
                <w:color w:val="FFFFFF"/>
                <w:sz w:val="20"/>
                <w:szCs w:val="20"/>
              </w:rPr>
              <w:t xml:space="preserve">Primary Use Case</w:t>
            </w:r>
          </w:p>
        </w:tc>
      </w:tr>
      <w:tr>
        <w:tc>
          <w:tcPr>
            <w:tcW w:type="dxa" w:w="1300"/>
            <w:tcMar>
              <w:top w:type="dxa" w:w="80"/>
              <w:left w:type="dxa" w:w="100"/>
              <w:bottom w:type="dxa" w:w="80"/>
              <w:right w:type="dxa" w:w="100"/>
            </w:tcMar>
          </w:tcPr>
          <w:p>
            <w:r>
              <w:rPr>
                <w:b w:val="false"/>
                <w:bCs w:val="false"/>
                <w:color w:val="000000"/>
                <w:sz w:val="20"/>
                <w:szCs w:val="20"/>
              </w:rPr>
              <w:t xml:space="preserve">APE</w:t>
            </w:r>
          </w:p>
        </w:tc>
        <w:tc>
          <w:tcPr>
            <w:tcW w:type="dxa" w:w="3600"/>
            <w:tcMar>
              <w:top w:type="dxa" w:w="80"/>
              <w:left w:type="dxa" w:w="100"/>
              <w:bottom w:type="dxa" w:w="80"/>
              <w:right w:type="dxa" w:w="100"/>
            </w:tcMar>
          </w:tcPr>
          <w:p>
            <w:r>
              <w:rPr>
                <w:b w:val="false"/>
                <w:bCs w:val="false"/>
                <w:color w:val="000000"/>
                <w:sz w:val="20"/>
                <w:szCs w:val="20"/>
              </w:rPr>
              <w:t xml:space="preserve">Action, Purpose, Execution</w:t>
            </w:r>
          </w:p>
        </w:tc>
        <w:tc>
          <w:tcPr>
            <w:tcW w:type="dxa" w:w="4300"/>
            <w:tcMar>
              <w:top w:type="dxa" w:w="80"/>
              <w:left w:type="dxa" w:w="100"/>
              <w:bottom w:type="dxa" w:w="80"/>
              <w:right w:type="dxa" w:w="100"/>
            </w:tcMar>
          </w:tcPr>
          <w:p>
            <w:r>
              <w:rPr>
                <w:b w:val="false"/>
                <w:bCs w:val="false"/>
                <w:color w:val="000000"/>
                <w:sz w:val="20"/>
                <w:szCs w:val="20"/>
              </w:rPr>
              <w:t xml:space="preserve">Simple, single-step goal-oriented prompts</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RACE</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Role, Action, Context, Execute</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Fast, agile-friendly prompt deployment</w:t>
            </w:r>
          </w:p>
        </w:tc>
      </w:tr>
      <w:tr>
        <w:tc>
          <w:tcPr>
            <w:tcW w:type="dxa" w:w="1300"/>
            <w:tcMar>
              <w:top w:type="dxa" w:w="80"/>
              <w:left w:type="dxa" w:w="100"/>
              <w:bottom w:type="dxa" w:w="80"/>
              <w:right w:type="dxa" w:w="100"/>
            </w:tcMar>
          </w:tcPr>
          <w:p>
            <w:r>
              <w:rPr>
                <w:b w:val="false"/>
                <w:bCs w:val="false"/>
                <w:color w:val="000000"/>
                <w:sz w:val="20"/>
                <w:szCs w:val="20"/>
              </w:rPr>
              <w:t xml:space="preserve">CARE</w:t>
            </w:r>
          </w:p>
        </w:tc>
        <w:tc>
          <w:tcPr>
            <w:tcW w:type="dxa" w:w="3600"/>
            <w:tcMar>
              <w:top w:type="dxa" w:w="80"/>
              <w:left w:type="dxa" w:w="100"/>
              <w:bottom w:type="dxa" w:w="80"/>
              <w:right w:type="dxa" w:w="100"/>
            </w:tcMar>
          </w:tcPr>
          <w:p>
            <w:r>
              <w:rPr>
                <w:b w:val="false"/>
                <w:bCs w:val="false"/>
                <w:color w:val="000000"/>
                <w:sz w:val="20"/>
                <w:szCs w:val="20"/>
              </w:rPr>
              <w:t xml:space="preserve">Context, Ask/Action, Rules/Result, Examples</w:t>
            </w:r>
          </w:p>
        </w:tc>
        <w:tc>
          <w:tcPr>
            <w:tcW w:type="dxa" w:w="4300"/>
            <w:tcMar>
              <w:top w:type="dxa" w:w="80"/>
              <w:left w:type="dxa" w:w="100"/>
              <w:bottom w:type="dxa" w:w="80"/>
              <w:right w:type="dxa" w:w="100"/>
            </w:tcMar>
          </w:tcPr>
          <w:p>
            <w:r>
              <w:rPr>
                <w:b w:val="false"/>
                <w:bCs w:val="false"/>
                <w:color w:val="000000"/>
                <w:sz w:val="20"/>
                <w:szCs w:val="20"/>
              </w:rPr>
              <w:t xml:space="preserve">General-purpose prompting; UX research (Nielsen Norman Group variant)</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TAG</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Task, Action, Goal</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Direct, task-specific instructions</w:t>
            </w:r>
          </w:p>
        </w:tc>
      </w:tr>
      <w:tr>
        <w:tc>
          <w:tcPr>
            <w:tcW w:type="dxa" w:w="1300"/>
            <w:tcMar>
              <w:top w:type="dxa" w:w="80"/>
              <w:left w:type="dxa" w:w="100"/>
              <w:bottom w:type="dxa" w:w="80"/>
              <w:right w:type="dxa" w:w="100"/>
            </w:tcMar>
          </w:tcPr>
          <w:p>
            <w:r>
              <w:rPr>
                <w:b w:val="false"/>
                <w:bCs w:val="false"/>
                <w:color w:val="000000"/>
                <w:sz w:val="20"/>
                <w:szCs w:val="20"/>
              </w:rPr>
              <w:t xml:space="preserve">CREO</w:t>
            </w:r>
          </w:p>
        </w:tc>
        <w:tc>
          <w:tcPr>
            <w:tcW w:type="dxa" w:w="3600"/>
            <w:tcMar>
              <w:top w:type="dxa" w:w="80"/>
              <w:left w:type="dxa" w:w="100"/>
              <w:bottom w:type="dxa" w:w="80"/>
              <w:right w:type="dxa" w:w="100"/>
            </w:tcMar>
          </w:tcPr>
          <w:p>
            <w:r>
              <w:rPr>
                <w:b w:val="false"/>
                <w:bCs w:val="false"/>
                <w:color w:val="000000"/>
                <w:sz w:val="20"/>
                <w:szCs w:val="20"/>
              </w:rPr>
              <w:t xml:space="preserve">Context, Request, Explanation, Outcome</w:t>
            </w:r>
          </w:p>
        </w:tc>
        <w:tc>
          <w:tcPr>
            <w:tcW w:type="dxa" w:w="4300"/>
            <w:tcMar>
              <w:top w:type="dxa" w:w="80"/>
              <w:left w:type="dxa" w:w="100"/>
              <w:bottom w:type="dxa" w:w="80"/>
              <w:right w:type="dxa" w:w="100"/>
            </w:tcMar>
          </w:tcPr>
          <w:p>
            <w:r>
              <w:rPr>
                <w:b w:val="false"/>
                <w:bCs w:val="false"/>
                <w:color w:val="000000"/>
                <w:sz w:val="20"/>
                <w:szCs w:val="20"/>
              </w:rPr>
              <w:t xml:space="preserve">Detailed, explanatory prompts</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RISE</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Role, Input, Steps, Execution</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Step-by-step instructional prompts</w:t>
            </w:r>
          </w:p>
        </w:tc>
      </w:tr>
      <w:tr>
        <w:tc>
          <w:tcPr>
            <w:tcW w:type="dxa" w:w="1300"/>
            <w:tcMar>
              <w:top w:type="dxa" w:w="80"/>
              <w:left w:type="dxa" w:w="100"/>
              <w:bottom w:type="dxa" w:w="80"/>
              <w:right w:type="dxa" w:w="100"/>
            </w:tcMar>
          </w:tcPr>
          <w:p>
            <w:r>
              <w:rPr>
                <w:b w:val="false"/>
                <w:bCs w:val="false"/>
                <w:color w:val="000000"/>
                <w:sz w:val="20"/>
                <w:szCs w:val="20"/>
              </w:rPr>
              <w:t xml:space="preserve">PAIN</w:t>
            </w:r>
          </w:p>
        </w:tc>
        <w:tc>
          <w:tcPr>
            <w:tcW w:type="dxa" w:w="3600"/>
            <w:tcMar>
              <w:top w:type="dxa" w:w="80"/>
              <w:left w:type="dxa" w:w="100"/>
              <w:bottom w:type="dxa" w:w="80"/>
              <w:right w:type="dxa" w:w="100"/>
            </w:tcMar>
          </w:tcPr>
          <w:p>
            <w:r>
              <w:rPr>
                <w:b w:val="false"/>
                <w:bCs w:val="false"/>
                <w:color w:val="000000"/>
                <w:sz w:val="20"/>
                <w:szCs w:val="20"/>
              </w:rPr>
              <w:t xml:space="preserve">Problem, Action, Information, Next Steps</w:t>
            </w:r>
          </w:p>
        </w:tc>
        <w:tc>
          <w:tcPr>
            <w:tcW w:type="dxa" w:w="4300"/>
            <w:tcMar>
              <w:top w:type="dxa" w:w="80"/>
              <w:left w:type="dxa" w:w="100"/>
              <w:bottom w:type="dxa" w:w="80"/>
              <w:right w:type="dxa" w:w="100"/>
            </w:tcMar>
          </w:tcPr>
          <w:p>
            <w:r>
              <w:rPr>
                <w:b w:val="false"/>
                <w:bCs w:val="false"/>
                <w:color w:val="000000"/>
                <w:sz w:val="20"/>
                <w:szCs w:val="20"/>
              </w:rPr>
              <w:t xml:space="preserve">Troubleshooting and problem-solving</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COAST</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Context, Objective, Actions, Scenario, Task</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Scenario-based task execution</w:t>
            </w:r>
          </w:p>
        </w:tc>
      </w:tr>
      <w:tr>
        <w:tc>
          <w:tcPr>
            <w:tcW w:type="dxa" w:w="1300"/>
            <w:tcMar>
              <w:top w:type="dxa" w:w="80"/>
              <w:left w:type="dxa" w:w="100"/>
              <w:bottom w:type="dxa" w:w="80"/>
              <w:right w:type="dxa" w:w="100"/>
            </w:tcMar>
          </w:tcPr>
          <w:p>
            <w:r>
              <w:rPr>
                <w:b w:val="false"/>
                <w:bCs w:val="false"/>
                <w:color w:val="000000"/>
                <w:sz w:val="20"/>
                <w:szCs w:val="20"/>
              </w:rPr>
              <w:t xml:space="preserve">ROSES</w:t>
            </w:r>
          </w:p>
        </w:tc>
        <w:tc>
          <w:tcPr>
            <w:tcW w:type="dxa" w:w="3600"/>
            <w:tcMar>
              <w:top w:type="dxa" w:w="80"/>
              <w:left w:type="dxa" w:w="100"/>
              <w:bottom w:type="dxa" w:w="80"/>
              <w:right w:type="dxa" w:w="100"/>
            </w:tcMar>
          </w:tcPr>
          <w:p>
            <w:r>
              <w:rPr>
                <w:b w:val="false"/>
                <w:bCs w:val="false"/>
                <w:color w:val="000000"/>
                <w:sz w:val="20"/>
                <w:szCs w:val="20"/>
              </w:rPr>
              <w:t xml:space="preserve">Role, Objective, Scenario, Expected Solution, Steps</w:t>
            </w:r>
          </w:p>
        </w:tc>
        <w:tc>
          <w:tcPr>
            <w:tcW w:type="dxa" w:w="4300"/>
            <w:tcMar>
              <w:top w:type="dxa" w:w="80"/>
              <w:left w:type="dxa" w:w="100"/>
              <w:bottom w:type="dxa" w:w="80"/>
              <w:right w:type="dxa" w:w="100"/>
            </w:tcMar>
          </w:tcPr>
          <w:p>
            <w:r>
              <w:rPr>
                <w:b w:val="false"/>
                <w:bCs w:val="false"/>
                <w:color w:val="000000"/>
                <w:sz w:val="20"/>
                <w:szCs w:val="20"/>
              </w:rPr>
              <w:t xml:space="preserve">Structured, solution-oriented prompts</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RTF</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Role, Task, Format</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Quick, versatile everyday prompts</w:t>
            </w:r>
          </w:p>
        </w:tc>
      </w:tr>
      <w:tr>
        <w:tc>
          <w:tcPr>
            <w:tcW w:type="dxa" w:w="1300"/>
            <w:tcMar>
              <w:top w:type="dxa" w:w="80"/>
              <w:left w:type="dxa" w:w="100"/>
              <w:bottom w:type="dxa" w:w="80"/>
              <w:right w:type="dxa" w:w="100"/>
            </w:tcMar>
          </w:tcPr>
          <w:p>
            <w:r>
              <w:rPr>
                <w:b w:val="false"/>
                <w:bCs w:val="false"/>
                <w:color w:val="000000"/>
                <w:sz w:val="20"/>
                <w:szCs w:val="20"/>
              </w:rPr>
              <w:t xml:space="preserve">CRAFT</w:t>
            </w:r>
          </w:p>
        </w:tc>
        <w:tc>
          <w:tcPr>
            <w:tcW w:type="dxa" w:w="3600"/>
            <w:tcMar>
              <w:top w:type="dxa" w:w="80"/>
              <w:left w:type="dxa" w:w="100"/>
              <w:bottom w:type="dxa" w:w="80"/>
              <w:right w:type="dxa" w:w="100"/>
            </w:tcMar>
          </w:tcPr>
          <w:p>
            <w:r>
              <w:rPr>
                <w:b w:val="false"/>
                <w:bCs w:val="false"/>
                <w:color w:val="000000"/>
                <w:sz w:val="20"/>
                <w:szCs w:val="20"/>
              </w:rPr>
              <w:t xml:space="preserve">Context, Role, Ask/Action, Format, Tone/Tests</w:t>
            </w:r>
          </w:p>
        </w:tc>
        <w:tc>
          <w:tcPr>
            <w:tcW w:type="dxa" w:w="4300"/>
            <w:tcMar>
              <w:top w:type="dxa" w:w="80"/>
              <w:left w:type="dxa" w:w="100"/>
              <w:bottom w:type="dxa" w:w="80"/>
              <w:right w:type="dxa" w:w="100"/>
            </w:tcMar>
          </w:tcPr>
          <w:p>
            <w:r>
              <w:rPr>
                <w:b w:val="false"/>
                <w:bCs w:val="false"/>
                <w:color w:val="000000"/>
                <w:sz w:val="20"/>
                <w:szCs w:val="20"/>
              </w:rPr>
              <w:t xml:space="preserve">Crafted communication with defined tone and format</w:t>
            </w:r>
          </w:p>
        </w:tc>
      </w:tr>
    </w:tbl>
    <w:p>
      <w:pPr>
        <w:pStyle w:val="Heading1"/>
        <w:spacing w:after="200" w:before="400"/>
      </w:pPr>
      <w:r>
        <w:t xml:space="preserve">3. Creativity &amp; Content Frameworks</w:t>
      </w:r>
    </w:p>
    <w:p>
      <w:pPr>
        <w:spacing w:after="160"/>
        <w:jc w:val="both"/>
      </w:pPr>
      <w:r>
        <w:t xml:space="preserve">Optimized for storytelling, copywriting, and ideation, these frameworks foreground voice, character, and narrative arc over strict technical constraints.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3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Framework</w:t>
            </w:r>
          </w:p>
        </w:tc>
        <w:tc>
          <w:tcPr>
            <w:tcW w:type="dxa" w:w="3600"/>
            <w:shd w:fill="1F3864" w:val="clear"/>
            <w:tcMar>
              <w:top w:type="dxa" w:w="80"/>
              <w:left w:type="dxa" w:w="100"/>
              <w:bottom w:type="dxa" w:w="80"/>
              <w:right w:type="dxa" w:w="100"/>
            </w:tcMar>
          </w:tcPr>
          <w:p>
            <w:r>
              <w:rPr>
                <w:b/>
                <w:bCs/>
                <w:color w:val="FFFFFF"/>
                <w:sz w:val="20"/>
                <w:szCs w:val="20"/>
              </w:rPr>
              <w:t xml:space="preserve">Components</w:t>
            </w:r>
          </w:p>
        </w:tc>
        <w:tc>
          <w:tcPr>
            <w:tcW w:type="dxa" w:w="4300"/>
            <w:shd w:fill="1F3864" w:val="clear"/>
            <w:tcMar>
              <w:top w:type="dxa" w:w="80"/>
              <w:left w:type="dxa" w:w="100"/>
              <w:bottom w:type="dxa" w:w="80"/>
              <w:right w:type="dxa" w:w="100"/>
            </w:tcMar>
          </w:tcPr>
          <w:p>
            <w:r>
              <w:rPr>
                <w:b/>
                <w:bCs/>
                <w:color w:val="FFFFFF"/>
                <w:sz w:val="20"/>
                <w:szCs w:val="20"/>
              </w:rPr>
              <w:t xml:space="preserve">Primary Use Case</w:t>
            </w:r>
          </w:p>
        </w:tc>
      </w:tr>
      <w:tr>
        <w:tc>
          <w:tcPr>
            <w:tcW w:type="dxa" w:w="1300"/>
            <w:tcMar>
              <w:top w:type="dxa" w:w="80"/>
              <w:left w:type="dxa" w:w="100"/>
              <w:bottom w:type="dxa" w:w="80"/>
              <w:right w:type="dxa" w:w="100"/>
            </w:tcMar>
          </w:tcPr>
          <w:p>
            <w:r>
              <w:rPr>
                <w:b w:val="false"/>
                <w:bCs w:val="false"/>
                <w:color w:val="000000"/>
                <w:sz w:val="20"/>
                <w:szCs w:val="20"/>
              </w:rPr>
              <w:t xml:space="preserve">CREATE</w:t>
            </w:r>
          </w:p>
        </w:tc>
        <w:tc>
          <w:tcPr>
            <w:tcW w:type="dxa" w:w="3600"/>
            <w:tcMar>
              <w:top w:type="dxa" w:w="80"/>
              <w:left w:type="dxa" w:w="100"/>
              <w:bottom w:type="dxa" w:w="80"/>
              <w:right w:type="dxa" w:w="100"/>
            </w:tcMar>
          </w:tcPr>
          <w:p>
            <w:r>
              <w:rPr>
                <w:b w:val="false"/>
                <w:bCs w:val="false"/>
                <w:color w:val="000000"/>
                <w:sz w:val="20"/>
                <w:szCs w:val="20"/>
              </w:rPr>
              <w:t xml:space="preserve">Character, Request, Examples, Adjustments, Type, Extras</w:t>
            </w:r>
          </w:p>
        </w:tc>
        <w:tc>
          <w:tcPr>
            <w:tcW w:type="dxa" w:w="4300"/>
            <w:tcMar>
              <w:top w:type="dxa" w:w="80"/>
              <w:left w:type="dxa" w:w="100"/>
              <w:bottom w:type="dxa" w:w="80"/>
              <w:right w:type="dxa" w:w="100"/>
            </w:tcMar>
          </w:tcPr>
          <w:p>
            <w:r>
              <w:rPr>
                <w:b w:val="false"/>
                <w:bCs w:val="false"/>
                <w:color w:val="000000"/>
                <w:sz w:val="20"/>
                <w:szCs w:val="20"/>
              </w:rPr>
              <w:t xml:space="preserve">Maximizing creativity and precision in content</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DARE</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Define, Associate, Reflect, Execute</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Storytelling and creative ideation</w:t>
            </w:r>
          </w:p>
        </w:tc>
      </w:tr>
      <w:tr>
        <w:tc>
          <w:tcPr>
            <w:tcW w:type="dxa" w:w="1300"/>
            <w:tcMar>
              <w:top w:type="dxa" w:w="80"/>
              <w:left w:type="dxa" w:w="100"/>
              <w:bottom w:type="dxa" w:w="80"/>
              <w:right w:type="dxa" w:w="100"/>
            </w:tcMar>
          </w:tcPr>
          <w:p>
            <w:r>
              <w:rPr>
                <w:b w:val="false"/>
                <w:bCs w:val="false"/>
                <w:color w:val="000000"/>
                <w:sz w:val="20"/>
                <w:szCs w:val="20"/>
              </w:rPr>
              <w:t xml:space="preserve">BAB</w:t>
            </w:r>
          </w:p>
        </w:tc>
        <w:tc>
          <w:tcPr>
            <w:tcW w:type="dxa" w:w="3600"/>
            <w:tcMar>
              <w:top w:type="dxa" w:w="80"/>
              <w:left w:type="dxa" w:w="100"/>
              <w:bottom w:type="dxa" w:w="80"/>
              <w:right w:type="dxa" w:w="100"/>
            </w:tcMar>
          </w:tcPr>
          <w:p>
            <w:r>
              <w:rPr>
                <w:b w:val="false"/>
                <w:bCs w:val="false"/>
                <w:color w:val="000000"/>
                <w:sz w:val="20"/>
                <w:szCs w:val="20"/>
              </w:rPr>
              <w:t xml:space="preserve">Before, After, Bridge</w:t>
            </w:r>
          </w:p>
        </w:tc>
        <w:tc>
          <w:tcPr>
            <w:tcW w:type="dxa" w:w="4300"/>
            <w:tcMar>
              <w:top w:type="dxa" w:w="80"/>
              <w:left w:type="dxa" w:w="100"/>
              <w:bottom w:type="dxa" w:w="80"/>
              <w:right w:type="dxa" w:w="100"/>
            </w:tcMar>
          </w:tcPr>
          <w:p>
            <w:r>
              <w:rPr>
                <w:b w:val="false"/>
                <w:bCs w:val="false"/>
                <w:color w:val="000000"/>
                <w:sz w:val="20"/>
                <w:szCs w:val="20"/>
              </w:rPr>
              <w:t xml:space="preserve">Copywriting and transformation narratives</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IDEA</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Intent, Details, Examples, Adjustments</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Iterative research and creative refinement</w:t>
            </w:r>
          </w:p>
        </w:tc>
      </w:tr>
      <w:tr>
        <w:tc>
          <w:tcPr>
            <w:tcW w:type="dxa" w:w="1300"/>
            <w:tcMar>
              <w:top w:type="dxa" w:w="80"/>
              <w:left w:type="dxa" w:w="100"/>
              <w:bottom w:type="dxa" w:w="80"/>
              <w:right w:type="dxa" w:w="100"/>
            </w:tcMar>
          </w:tcPr>
          <w:p>
            <w:r>
              <w:rPr>
                <w:b w:val="false"/>
                <w:bCs w:val="false"/>
                <w:color w:val="000000"/>
                <w:sz w:val="20"/>
                <w:szCs w:val="20"/>
              </w:rPr>
              <w:t xml:space="preserve">FOCUS</w:t>
            </w:r>
          </w:p>
        </w:tc>
        <w:tc>
          <w:tcPr>
            <w:tcW w:type="dxa" w:w="3600"/>
            <w:tcMar>
              <w:top w:type="dxa" w:w="80"/>
              <w:left w:type="dxa" w:w="100"/>
              <w:bottom w:type="dxa" w:w="80"/>
              <w:right w:type="dxa" w:w="100"/>
            </w:tcMar>
          </w:tcPr>
          <w:p>
            <w:r>
              <w:rPr>
                <w:b w:val="false"/>
                <w:bCs w:val="false"/>
                <w:color w:val="000000"/>
                <w:sz w:val="20"/>
                <w:szCs w:val="20"/>
              </w:rPr>
              <w:t xml:space="preserve">Function, Outcome, Criteria, Underlying Assumptions, Strategy</w:t>
            </w:r>
          </w:p>
        </w:tc>
        <w:tc>
          <w:tcPr>
            <w:tcW w:type="dxa" w:w="4300"/>
            <w:tcMar>
              <w:top w:type="dxa" w:w="80"/>
              <w:left w:type="dxa" w:w="100"/>
              <w:bottom w:type="dxa" w:w="80"/>
              <w:right w:type="dxa" w:w="100"/>
            </w:tcMar>
          </w:tcPr>
          <w:p>
            <w:r>
              <w:rPr>
                <w:b w:val="false"/>
                <w:bCs w:val="false"/>
                <w:color w:val="000000"/>
                <w:sz w:val="20"/>
                <w:szCs w:val="20"/>
              </w:rPr>
              <w:t xml:space="preserve">Targeted, no-fluff research briefs</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POETRY</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Purpose, Outline, Express, Transform, Reflect, Yield</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Long-form creative writing</w:t>
            </w:r>
          </w:p>
        </w:tc>
      </w:tr>
      <w:tr>
        <w:tc>
          <w:tcPr>
            <w:tcW w:type="dxa" w:w="1300"/>
            <w:tcMar>
              <w:top w:type="dxa" w:w="80"/>
              <w:left w:type="dxa" w:w="100"/>
              <w:bottom w:type="dxa" w:w="80"/>
              <w:right w:type="dxa" w:w="100"/>
            </w:tcMar>
          </w:tcPr>
          <w:p>
            <w:r>
              <w:rPr>
                <w:b w:val="false"/>
                <w:bCs w:val="false"/>
                <w:color w:val="000000"/>
                <w:sz w:val="20"/>
                <w:szCs w:val="20"/>
              </w:rPr>
              <w:t xml:space="preserve">SOAR</w:t>
            </w:r>
          </w:p>
        </w:tc>
        <w:tc>
          <w:tcPr>
            <w:tcW w:type="dxa" w:w="3600"/>
            <w:tcMar>
              <w:top w:type="dxa" w:w="80"/>
              <w:left w:type="dxa" w:w="100"/>
              <w:bottom w:type="dxa" w:w="80"/>
              <w:right w:type="dxa" w:w="100"/>
            </w:tcMar>
          </w:tcPr>
          <w:p>
            <w:r>
              <w:rPr>
                <w:b w:val="false"/>
                <w:bCs w:val="false"/>
                <w:color w:val="000000"/>
                <w:sz w:val="20"/>
                <w:szCs w:val="20"/>
              </w:rPr>
              <w:t xml:space="preserve">Situation, Obstacles, Actions, Results</w:t>
            </w:r>
          </w:p>
        </w:tc>
        <w:tc>
          <w:tcPr>
            <w:tcW w:type="dxa" w:w="4300"/>
            <w:tcMar>
              <w:top w:type="dxa" w:w="80"/>
              <w:left w:type="dxa" w:w="100"/>
              <w:bottom w:type="dxa" w:w="80"/>
              <w:right w:type="dxa" w:w="100"/>
            </w:tcMar>
          </w:tcPr>
          <w:p>
            <w:r>
              <w:rPr>
                <w:b w:val="false"/>
                <w:bCs w:val="false"/>
                <w:color w:val="000000"/>
                <w:sz w:val="20"/>
                <w:szCs w:val="20"/>
              </w:rPr>
              <w:t xml:space="preserve">Narrative and storytelling structure</w:t>
            </w:r>
          </w:p>
        </w:tc>
      </w:tr>
    </w:tbl>
    <w:p>
      <w:pPr>
        <w:pStyle w:val="Heading1"/>
        <w:spacing w:after="200" w:before="400"/>
      </w:pPr>
      <w:r>
        <w:t xml:space="preserve">4. Analysis &amp; Research-Oriented Frameworks</w:t>
      </w:r>
    </w:p>
    <w:p>
      <w:pPr>
        <w:spacing w:after="160"/>
        <w:jc w:val="both"/>
      </w:pPr>
      <w:r>
        <w:t xml:space="preserve">These frameworks add rigor for investigative and analytical work — hypothesis framing, scope discipline, and evaluation criteria are first-class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3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Framework</w:t>
            </w:r>
          </w:p>
        </w:tc>
        <w:tc>
          <w:tcPr>
            <w:tcW w:type="dxa" w:w="3600"/>
            <w:shd w:fill="1F3864" w:val="clear"/>
            <w:tcMar>
              <w:top w:type="dxa" w:w="80"/>
              <w:left w:type="dxa" w:w="100"/>
              <w:bottom w:type="dxa" w:w="80"/>
              <w:right w:type="dxa" w:w="100"/>
            </w:tcMar>
          </w:tcPr>
          <w:p>
            <w:r>
              <w:rPr>
                <w:b/>
                <w:bCs/>
                <w:color w:val="FFFFFF"/>
                <w:sz w:val="20"/>
                <w:szCs w:val="20"/>
              </w:rPr>
              <w:t xml:space="preserve">Components</w:t>
            </w:r>
          </w:p>
        </w:tc>
        <w:tc>
          <w:tcPr>
            <w:tcW w:type="dxa" w:w="4300"/>
            <w:shd w:fill="1F3864" w:val="clear"/>
            <w:tcMar>
              <w:top w:type="dxa" w:w="80"/>
              <w:left w:type="dxa" w:w="100"/>
              <w:bottom w:type="dxa" w:w="80"/>
              <w:right w:type="dxa" w:w="100"/>
            </w:tcMar>
          </w:tcPr>
          <w:p>
            <w:r>
              <w:rPr>
                <w:b/>
                <w:bCs/>
                <w:color w:val="FFFFFF"/>
                <w:sz w:val="20"/>
                <w:szCs w:val="20"/>
              </w:rPr>
              <w:t xml:space="preserve">Primary Use Case</w:t>
            </w:r>
          </w:p>
        </w:tc>
      </w:tr>
      <w:tr>
        <w:tc>
          <w:tcPr>
            <w:tcW w:type="dxa" w:w="1300"/>
            <w:tcMar>
              <w:top w:type="dxa" w:w="80"/>
              <w:left w:type="dxa" w:w="100"/>
              <w:bottom w:type="dxa" w:w="80"/>
              <w:right w:type="dxa" w:w="100"/>
            </w:tcMar>
          </w:tcPr>
          <w:p>
            <w:r>
              <w:rPr>
                <w:b w:val="false"/>
                <w:bCs w:val="false"/>
                <w:color w:val="000000"/>
                <w:sz w:val="20"/>
                <w:szCs w:val="20"/>
              </w:rPr>
              <w:t xml:space="preserve">RISEN</w:t>
            </w:r>
          </w:p>
        </w:tc>
        <w:tc>
          <w:tcPr>
            <w:tcW w:type="dxa" w:w="3600"/>
            <w:tcMar>
              <w:top w:type="dxa" w:w="80"/>
              <w:left w:type="dxa" w:w="100"/>
              <w:bottom w:type="dxa" w:w="80"/>
              <w:right w:type="dxa" w:w="100"/>
            </w:tcMar>
          </w:tcPr>
          <w:p>
            <w:r>
              <w:rPr>
                <w:b w:val="false"/>
                <w:bCs w:val="false"/>
                <w:color w:val="000000"/>
                <w:sz w:val="20"/>
                <w:szCs w:val="20"/>
              </w:rPr>
              <w:t xml:space="preserve">Role, Instructions, Steps, End Goal, Narrowing</w:t>
            </w:r>
          </w:p>
        </w:tc>
        <w:tc>
          <w:tcPr>
            <w:tcW w:type="dxa" w:w="4300"/>
            <w:tcMar>
              <w:top w:type="dxa" w:w="80"/>
              <w:left w:type="dxa" w:w="100"/>
              <w:bottom w:type="dxa" w:w="80"/>
              <w:right w:type="dxa" w:w="100"/>
            </w:tcMar>
          </w:tcPr>
          <w:p>
            <w:r>
              <w:rPr>
                <w:b w:val="false"/>
                <w:bCs w:val="false"/>
                <w:color w:val="000000"/>
                <w:sz w:val="20"/>
                <w:szCs w:val="20"/>
              </w:rPr>
              <w:t xml:space="preserve">Deep analysis and thought leadership</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QUEST</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Question, Understanding, Expectation, Scope, Time</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Refining ambiguous research questions</w:t>
            </w:r>
          </w:p>
        </w:tc>
      </w:tr>
      <w:tr>
        <w:tc>
          <w:tcPr>
            <w:tcW w:type="dxa" w:w="1300"/>
            <w:tcMar>
              <w:top w:type="dxa" w:w="80"/>
              <w:left w:type="dxa" w:w="100"/>
              <w:bottom w:type="dxa" w:w="80"/>
              <w:right w:type="dxa" w:w="100"/>
            </w:tcMar>
          </w:tcPr>
          <w:p>
            <w:r>
              <w:rPr>
                <w:b w:val="false"/>
                <w:bCs w:val="false"/>
                <w:color w:val="000000"/>
                <w:sz w:val="20"/>
                <w:szCs w:val="20"/>
              </w:rPr>
              <w:t xml:space="preserve">GUIDE</w:t>
            </w:r>
          </w:p>
        </w:tc>
        <w:tc>
          <w:tcPr>
            <w:tcW w:type="dxa" w:w="3600"/>
            <w:tcMar>
              <w:top w:type="dxa" w:w="80"/>
              <w:left w:type="dxa" w:w="100"/>
              <w:bottom w:type="dxa" w:w="80"/>
              <w:right w:type="dxa" w:w="100"/>
            </w:tcMar>
          </w:tcPr>
          <w:p>
            <w:r>
              <w:rPr>
                <w:b w:val="false"/>
                <w:bCs w:val="false"/>
                <w:color w:val="000000"/>
                <w:sz w:val="20"/>
                <w:szCs w:val="20"/>
              </w:rPr>
              <w:t xml:space="preserve">Goal, Understanding/User, Information/Input, Direction, Evaluation/Examples</w:t>
            </w:r>
          </w:p>
        </w:tc>
        <w:tc>
          <w:tcPr>
            <w:tcW w:type="dxa" w:w="4300"/>
            <w:tcMar>
              <w:top w:type="dxa" w:w="80"/>
              <w:left w:type="dxa" w:w="100"/>
              <w:bottom w:type="dxa" w:w="80"/>
              <w:right w:type="dxa" w:w="100"/>
            </w:tcMar>
          </w:tcPr>
          <w:p>
            <w:r>
              <w:rPr>
                <w:b w:val="false"/>
                <w:bCs w:val="false"/>
                <w:color w:val="000000"/>
                <w:sz w:val="20"/>
                <w:szCs w:val="20"/>
              </w:rPr>
              <w:t xml:space="preserve">Systematic, step-by-step research</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RHODES</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Research, Hypothesis, Objectives, Development, Execution, Synthesis</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Hypothesis-driven scientific research</w:t>
            </w:r>
          </w:p>
        </w:tc>
      </w:tr>
      <w:tr>
        <w:tc>
          <w:tcPr>
            <w:tcW w:type="dxa" w:w="1300"/>
            <w:tcMar>
              <w:top w:type="dxa" w:w="80"/>
              <w:left w:type="dxa" w:w="100"/>
              <w:bottom w:type="dxa" w:w="80"/>
              <w:right w:type="dxa" w:w="100"/>
            </w:tcMar>
          </w:tcPr>
          <w:p>
            <w:r>
              <w:rPr>
                <w:b w:val="false"/>
                <w:bCs w:val="false"/>
                <w:color w:val="000000"/>
                <w:sz w:val="20"/>
                <w:szCs w:val="20"/>
              </w:rPr>
              <w:t xml:space="preserve">PARA</w:t>
            </w:r>
          </w:p>
        </w:tc>
        <w:tc>
          <w:tcPr>
            <w:tcW w:type="dxa" w:w="3600"/>
            <w:tcMar>
              <w:top w:type="dxa" w:w="80"/>
              <w:left w:type="dxa" w:w="100"/>
              <w:bottom w:type="dxa" w:w="80"/>
              <w:right w:type="dxa" w:w="100"/>
            </w:tcMar>
          </w:tcPr>
          <w:p>
            <w:r>
              <w:rPr>
                <w:b w:val="false"/>
                <w:bCs w:val="false"/>
                <w:color w:val="000000"/>
                <w:sz w:val="20"/>
                <w:szCs w:val="20"/>
              </w:rPr>
              <w:t xml:space="preserve">Problem, Analysis, Resolution, Action</w:t>
            </w:r>
          </w:p>
        </w:tc>
        <w:tc>
          <w:tcPr>
            <w:tcW w:type="dxa" w:w="4300"/>
            <w:tcMar>
              <w:top w:type="dxa" w:w="80"/>
              <w:left w:type="dxa" w:w="100"/>
              <w:bottom w:type="dxa" w:w="80"/>
              <w:right w:type="dxa" w:w="100"/>
            </w:tcMar>
          </w:tcPr>
          <w:p>
            <w:r>
              <w:rPr>
                <w:b w:val="false"/>
                <w:bCs w:val="false"/>
                <w:color w:val="000000"/>
                <w:sz w:val="20"/>
                <w:szCs w:val="20"/>
              </w:rPr>
              <w:t xml:space="preserve">Structured business problem-solving</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ROAD</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Role, Objective, Analysis, Decision</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Decision-making and strategy prompts</w:t>
            </w:r>
          </w:p>
        </w:tc>
      </w:tr>
      <w:tr>
        <w:tc>
          <w:tcPr>
            <w:tcW w:type="dxa" w:w="1300"/>
            <w:tcMar>
              <w:top w:type="dxa" w:w="80"/>
              <w:left w:type="dxa" w:w="100"/>
              <w:bottom w:type="dxa" w:w="80"/>
              <w:right w:type="dxa" w:w="100"/>
            </w:tcMar>
          </w:tcPr>
          <w:p>
            <w:r>
              <w:rPr>
                <w:b w:val="false"/>
                <w:bCs w:val="false"/>
                <w:color w:val="000000"/>
                <w:sz w:val="20"/>
                <w:szCs w:val="20"/>
              </w:rPr>
              <w:t xml:space="preserve">SMART-P</w:t>
            </w:r>
          </w:p>
        </w:tc>
        <w:tc>
          <w:tcPr>
            <w:tcW w:type="dxa" w:w="3600"/>
            <w:tcMar>
              <w:top w:type="dxa" w:w="80"/>
              <w:left w:type="dxa" w:w="100"/>
              <w:bottom w:type="dxa" w:w="80"/>
              <w:right w:type="dxa" w:w="100"/>
            </w:tcMar>
          </w:tcPr>
          <w:p>
            <w:r>
              <w:rPr>
                <w:b w:val="false"/>
                <w:bCs w:val="false"/>
                <w:color w:val="000000"/>
                <w:sz w:val="20"/>
                <w:szCs w:val="20"/>
              </w:rPr>
              <w:t xml:space="preserve">Specific, Measurable, Achievable, Relevant, Time-bound, Parameters</w:t>
            </w:r>
          </w:p>
        </w:tc>
        <w:tc>
          <w:tcPr>
            <w:tcW w:type="dxa" w:w="4300"/>
            <w:tcMar>
              <w:top w:type="dxa" w:w="80"/>
              <w:left w:type="dxa" w:w="100"/>
              <w:bottom w:type="dxa" w:w="80"/>
              <w:right w:type="dxa" w:w="100"/>
            </w:tcMar>
          </w:tcPr>
          <w:p>
            <w:r>
              <w:rPr>
                <w:b w:val="false"/>
                <w:bCs w:val="false"/>
                <w:color w:val="000000"/>
                <w:sz w:val="20"/>
                <w:szCs w:val="20"/>
              </w:rPr>
              <w:t xml:space="preserve">Goal-oriented research with metrics</w:t>
            </w:r>
          </w:p>
        </w:tc>
      </w:tr>
    </w:tbl>
    <w:p>
      <w:pPr>
        <w:pStyle w:val="Heading1"/>
        <w:spacing w:after="200" w:before="400"/>
      </w:pPr>
      <w:r>
        <w:t xml:space="preserve">5. Specialized &amp; Enterprise Frameworks</w:t>
      </w:r>
    </w:p>
    <w:p>
      <w:pPr>
        <w:spacing w:after="160"/>
        <w:jc w:val="both"/>
      </w:pPr>
      <w:r>
        <w:t xml:space="preserve">Frameworks in this tier are tuned for brand voice, enterprise workflows, or tightly bounded outputs, and are common in customer-facing and marketing contexts.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3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Framework</w:t>
            </w:r>
          </w:p>
        </w:tc>
        <w:tc>
          <w:tcPr>
            <w:tcW w:type="dxa" w:w="3600"/>
            <w:shd w:fill="1F3864" w:val="clear"/>
            <w:tcMar>
              <w:top w:type="dxa" w:w="80"/>
              <w:left w:type="dxa" w:w="100"/>
              <w:bottom w:type="dxa" w:w="80"/>
              <w:right w:type="dxa" w:w="100"/>
            </w:tcMar>
          </w:tcPr>
          <w:p>
            <w:r>
              <w:rPr>
                <w:b/>
                <w:bCs/>
                <w:color w:val="FFFFFF"/>
                <w:sz w:val="20"/>
                <w:szCs w:val="20"/>
              </w:rPr>
              <w:t xml:space="preserve">Components</w:t>
            </w:r>
          </w:p>
        </w:tc>
        <w:tc>
          <w:tcPr>
            <w:tcW w:type="dxa" w:w="4300"/>
            <w:shd w:fill="1F3864" w:val="clear"/>
            <w:tcMar>
              <w:top w:type="dxa" w:w="80"/>
              <w:left w:type="dxa" w:w="100"/>
              <w:bottom w:type="dxa" w:w="80"/>
              <w:right w:type="dxa" w:w="100"/>
            </w:tcMar>
          </w:tcPr>
          <w:p>
            <w:r>
              <w:rPr>
                <w:b/>
                <w:bCs/>
                <w:color w:val="FFFFFF"/>
                <w:sz w:val="20"/>
                <w:szCs w:val="20"/>
              </w:rPr>
              <w:t xml:space="preserve">Primary Use Case</w:t>
            </w:r>
          </w:p>
        </w:tc>
      </w:tr>
      <w:tr>
        <w:tc>
          <w:tcPr>
            <w:tcW w:type="dxa" w:w="1300"/>
            <w:tcMar>
              <w:top w:type="dxa" w:w="80"/>
              <w:left w:type="dxa" w:w="100"/>
              <w:bottom w:type="dxa" w:w="80"/>
              <w:right w:type="dxa" w:w="100"/>
            </w:tcMar>
          </w:tcPr>
          <w:p>
            <w:r>
              <w:rPr>
                <w:b w:val="false"/>
                <w:bCs w:val="false"/>
                <w:color w:val="000000"/>
                <w:sz w:val="20"/>
                <w:szCs w:val="20"/>
              </w:rPr>
              <w:t xml:space="preserve">COSTAR</w:t>
            </w:r>
          </w:p>
        </w:tc>
        <w:tc>
          <w:tcPr>
            <w:tcW w:type="dxa" w:w="3600"/>
            <w:tcMar>
              <w:top w:type="dxa" w:w="80"/>
              <w:left w:type="dxa" w:w="100"/>
              <w:bottom w:type="dxa" w:w="80"/>
              <w:right w:type="dxa" w:w="100"/>
            </w:tcMar>
          </w:tcPr>
          <w:p>
            <w:r>
              <w:rPr>
                <w:b w:val="false"/>
                <w:bCs w:val="false"/>
                <w:color w:val="000000"/>
                <w:sz w:val="20"/>
                <w:szCs w:val="20"/>
              </w:rPr>
              <w:t xml:space="preserve">Context, Objective, Style, Tone, Audience, Response</w:t>
            </w:r>
          </w:p>
        </w:tc>
        <w:tc>
          <w:tcPr>
            <w:tcW w:type="dxa" w:w="4300"/>
            <w:tcMar>
              <w:top w:type="dxa" w:w="80"/>
              <w:left w:type="dxa" w:w="100"/>
              <w:bottom w:type="dxa" w:w="80"/>
              <w:right w:type="dxa" w:w="100"/>
            </w:tcMar>
          </w:tcPr>
          <w:p>
            <w:r>
              <w:rPr>
                <w:b w:val="false"/>
                <w:bCs w:val="false"/>
                <w:color w:val="000000"/>
                <w:sz w:val="20"/>
                <w:szCs w:val="20"/>
              </w:rPr>
              <w:t xml:space="preserve">Brand-aligned customer communication (popularized by Sheila Teo)</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CRISPE</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Capacity/Role, Insight, Statement, Personality, Experiment</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Technical/strategic prompting with iteration</w:t>
            </w:r>
          </w:p>
        </w:tc>
      </w:tr>
      <w:tr>
        <w:tc>
          <w:tcPr>
            <w:tcW w:type="dxa" w:w="1300"/>
            <w:tcMar>
              <w:top w:type="dxa" w:w="80"/>
              <w:left w:type="dxa" w:w="100"/>
              <w:bottom w:type="dxa" w:w="80"/>
              <w:right w:type="dxa" w:w="100"/>
            </w:tcMar>
          </w:tcPr>
          <w:p>
            <w:r>
              <w:rPr>
                <w:b w:val="false"/>
                <w:bCs w:val="false"/>
                <w:color w:val="000000"/>
                <w:sz w:val="20"/>
                <w:szCs w:val="20"/>
              </w:rPr>
              <w:t xml:space="preserve">CLEAR</w:t>
            </w:r>
          </w:p>
        </w:tc>
        <w:tc>
          <w:tcPr>
            <w:tcW w:type="dxa" w:w="3600"/>
            <w:tcMar>
              <w:top w:type="dxa" w:w="80"/>
              <w:left w:type="dxa" w:w="100"/>
              <w:bottom w:type="dxa" w:w="80"/>
              <w:right w:type="dxa" w:w="100"/>
            </w:tcMar>
          </w:tcPr>
          <w:p>
            <w:r>
              <w:rPr>
                <w:b w:val="false"/>
                <w:bCs w:val="false"/>
                <w:color w:val="000000"/>
                <w:sz w:val="20"/>
                <w:szCs w:val="20"/>
              </w:rPr>
              <w:t xml:space="preserve">Context, Limits/Logic, Expectations, Action, Restrictions/Result</w:t>
            </w:r>
          </w:p>
        </w:tc>
        <w:tc>
          <w:tcPr>
            <w:tcW w:type="dxa" w:w="4300"/>
            <w:tcMar>
              <w:top w:type="dxa" w:w="80"/>
              <w:left w:type="dxa" w:w="100"/>
              <w:bottom w:type="dxa" w:w="80"/>
              <w:right w:type="dxa" w:w="100"/>
            </w:tcMar>
          </w:tcPr>
          <w:p>
            <w:r>
              <w:rPr>
                <w:b w:val="false"/>
                <w:bCs w:val="false"/>
                <w:color w:val="000000"/>
                <w:sz w:val="20"/>
                <w:szCs w:val="20"/>
              </w:rPr>
              <w:t xml:space="preserve">Well-defined, constraint-bound research queries</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PGTC</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Persona, Goal, Task, Context</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Enterprise workflow prompting (Asana-style)</w:t>
            </w:r>
          </w:p>
        </w:tc>
      </w:tr>
      <w:tr>
        <w:tc>
          <w:tcPr>
            <w:tcW w:type="dxa" w:w="1300"/>
            <w:tcMar>
              <w:top w:type="dxa" w:w="80"/>
              <w:left w:type="dxa" w:w="100"/>
              <w:bottom w:type="dxa" w:w="80"/>
              <w:right w:type="dxa" w:w="100"/>
            </w:tcMar>
          </w:tcPr>
          <w:p>
            <w:r>
              <w:rPr>
                <w:b w:val="false"/>
                <w:bCs w:val="false"/>
                <w:color w:val="000000"/>
                <w:sz w:val="20"/>
                <w:szCs w:val="20"/>
              </w:rPr>
              <w:t xml:space="preserve">TRACE</w:t>
            </w:r>
          </w:p>
        </w:tc>
        <w:tc>
          <w:tcPr>
            <w:tcW w:type="dxa" w:w="3600"/>
            <w:tcMar>
              <w:top w:type="dxa" w:w="80"/>
              <w:left w:type="dxa" w:w="100"/>
              <w:bottom w:type="dxa" w:w="80"/>
              <w:right w:type="dxa" w:w="100"/>
            </w:tcMar>
          </w:tcPr>
          <w:p>
            <w:r>
              <w:rPr>
                <w:b w:val="false"/>
                <w:bCs w:val="false"/>
                <w:color w:val="000000"/>
                <w:sz w:val="20"/>
                <w:szCs w:val="20"/>
              </w:rPr>
              <w:t xml:space="preserve">Task, Role, Audience, Constraints, Examples</w:t>
            </w:r>
          </w:p>
        </w:tc>
        <w:tc>
          <w:tcPr>
            <w:tcW w:type="dxa" w:w="4300"/>
            <w:tcMar>
              <w:top w:type="dxa" w:w="80"/>
              <w:left w:type="dxa" w:w="100"/>
              <w:bottom w:type="dxa" w:w="80"/>
              <w:right w:type="dxa" w:w="100"/>
            </w:tcMar>
          </w:tcPr>
          <w:p>
            <w:r>
              <w:rPr>
                <w:b w:val="false"/>
                <w:bCs w:val="false"/>
                <w:color w:val="000000"/>
                <w:sz w:val="20"/>
                <w:szCs w:val="20"/>
              </w:rPr>
              <w:t xml:space="preserve">Balancing precision with audience awareness</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RULER</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Role, User, Limits, Examples, Result</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Bounded, output-focused prompting</w:t>
            </w:r>
          </w:p>
        </w:tc>
      </w:tr>
      <w:tr>
        <w:tc>
          <w:tcPr>
            <w:tcW w:type="dxa" w:w="1300"/>
            <w:tcMar>
              <w:top w:type="dxa" w:w="80"/>
              <w:left w:type="dxa" w:w="100"/>
              <w:bottom w:type="dxa" w:w="80"/>
              <w:right w:type="dxa" w:w="100"/>
            </w:tcMar>
          </w:tcPr>
          <w:p>
            <w:r>
              <w:rPr>
                <w:b w:val="false"/>
                <w:bCs w:val="false"/>
                <w:color w:val="000000"/>
                <w:sz w:val="20"/>
                <w:szCs w:val="20"/>
              </w:rPr>
              <w:t xml:space="preserve">LASER</w:t>
            </w:r>
          </w:p>
        </w:tc>
        <w:tc>
          <w:tcPr>
            <w:tcW w:type="dxa" w:w="3600"/>
            <w:tcMar>
              <w:top w:type="dxa" w:w="80"/>
              <w:left w:type="dxa" w:w="100"/>
              <w:bottom w:type="dxa" w:w="80"/>
              <w:right w:type="dxa" w:w="100"/>
            </w:tcMar>
          </w:tcPr>
          <w:p>
            <w:r>
              <w:rPr>
                <w:b w:val="false"/>
                <w:bCs w:val="false"/>
                <w:color w:val="000000"/>
                <w:sz w:val="20"/>
                <w:szCs w:val="20"/>
              </w:rPr>
              <w:t xml:space="preserve">Limits, Ask, Style, Evidence, Result</w:t>
            </w:r>
          </w:p>
        </w:tc>
        <w:tc>
          <w:tcPr>
            <w:tcW w:type="dxa" w:w="4300"/>
            <w:tcMar>
              <w:top w:type="dxa" w:w="80"/>
              <w:left w:type="dxa" w:w="100"/>
              <w:bottom w:type="dxa" w:w="80"/>
              <w:right w:type="dxa" w:w="100"/>
            </w:tcMar>
          </w:tcPr>
          <w:p>
            <w:r>
              <w:rPr>
                <w:b w:val="false"/>
                <w:bCs w:val="false"/>
                <w:color w:val="000000"/>
                <w:sz w:val="20"/>
                <w:szCs w:val="20"/>
              </w:rPr>
              <w:t xml:space="preserve">Evidence-backed, tightly scoped responses</w:t>
            </w:r>
          </w:p>
        </w:tc>
      </w:tr>
    </w:tbl>
    <w:p>
      <w:pPr>
        <w:pStyle w:val="Heading1"/>
        <w:spacing w:after="200" w:before="400"/>
      </w:pPr>
      <w:r>
        <w:t xml:space="preserve">6. Domain-Specific Frameworks</w:t>
      </w:r>
    </w:p>
    <w:p>
      <w:pPr>
        <w:spacing w:after="160"/>
        <w:jc w:val="both"/>
      </w:pPr>
      <w:r>
        <w:t xml:space="preserve">Certain professions have adapted the generic checklist idea into vocabulary native to their field — clinical notes, legal reasoning, and software engineering all have their own variants.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3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Framework</w:t>
            </w:r>
          </w:p>
        </w:tc>
        <w:tc>
          <w:tcPr>
            <w:tcW w:type="dxa" w:w="3600"/>
            <w:shd w:fill="1F3864" w:val="clear"/>
            <w:tcMar>
              <w:top w:type="dxa" w:w="80"/>
              <w:left w:type="dxa" w:w="100"/>
              <w:bottom w:type="dxa" w:w="80"/>
              <w:right w:type="dxa" w:w="100"/>
            </w:tcMar>
          </w:tcPr>
          <w:p>
            <w:r>
              <w:rPr>
                <w:b/>
                <w:bCs/>
                <w:color w:val="FFFFFF"/>
                <w:sz w:val="20"/>
                <w:szCs w:val="20"/>
              </w:rPr>
              <w:t xml:space="preserve">Components</w:t>
            </w:r>
          </w:p>
        </w:tc>
        <w:tc>
          <w:tcPr>
            <w:tcW w:type="dxa" w:w="4300"/>
            <w:shd w:fill="1F3864" w:val="clear"/>
            <w:tcMar>
              <w:top w:type="dxa" w:w="80"/>
              <w:left w:type="dxa" w:w="100"/>
              <w:bottom w:type="dxa" w:w="80"/>
              <w:right w:type="dxa" w:w="100"/>
            </w:tcMar>
          </w:tcPr>
          <w:p>
            <w:r>
              <w:rPr>
                <w:b/>
                <w:bCs/>
                <w:color w:val="FFFFFF"/>
                <w:sz w:val="20"/>
                <w:szCs w:val="20"/>
              </w:rPr>
              <w:t xml:space="preserve">Primary Use Case</w:t>
            </w:r>
          </w:p>
        </w:tc>
      </w:tr>
      <w:tr>
        <w:tc>
          <w:tcPr>
            <w:tcW w:type="dxa" w:w="1300"/>
            <w:tcMar>
              <w:top w:type="dxa" w:w="80"/>
              <w:left w:type="dxa" w:w="100"/>
              <w:bottom w:type="dxa" w:w="80"/>
              <w:right w:type="dxa" w:w="100"/>
            </w:tcMar>
          </w:tcPr>
          <w:p>
            <w:r>
              <w:rPr>
                <w:b w:val="false"/>
                <w:bCs w:val="false"/>
                <w:color w:val="000000"/>
                <w:sz w:val="20"/>
                <w:szCs w:val="20"/>
              </w:rPr>
              <w:t xml:space="preserve">MEDIC</w:t>
            </w:r>
          </w:p>
        </w:tc>
        <w:tc>
          <w:tcPr>
            <w:tcW w:type="dxa" w:w="3600"/>
            <w:tcMar>
              <w:top w:type="dxa" w:w="80"/>
              <w:left w:type="dxa" w:w="100"/>
              <w:bottom w:type="dxa" w:w="80"/>
              <w:right w:type="dxa" w:w="100"/>
            </w:tcMar>
          </w:tcPr>
          <w:p>
            <w:r>
              <w:rPr>
                <w:b w:val="false"/>
                <w:bCs w:val="false"/>
                <w:color w:val="000000"/>
                <w:sz w:val="20"/>
                <w:szCs w:val="20"/>
              </w:rPr>
              <w:t xml:space="preserve">History, Examination, Diagnosis, Intervention, Communication</w:t>
            </w:r>
          </w:p>
        </w:tc>
        <w:tc>
          <w:tcPr>
            <w:tcW w:type="dxa" w:w="4300"/>
            <w:tcMar>
              <w:top w:type="dxa" w:w="80"/>
              <w:left w:type="dxa" w:w="100"/>
              <w:bottom w:type="dxa" w:w="80"/>
              <w:right w:type="dxa" w:w="100"/>
            </w:tcMar>
          </w:tcPr>
          <w:p>
            <w:r>
              <w:rPr>
                <w:b w:val="false"/>
                <w:bCs w:val="false"/>
                <w:color w:val="000000"/>
                <w:sz w:val="20"/>
                <w:szCs w:val="20"/>
              </w:rPr>
              <w:t xml:space="preserve">Clinical/medical reasoning prompts (SOAP-style)</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LEGAL / IRAC</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Issue, Rule, Analysis, Conclusion</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Legal analysis and case reasoning</w:t>
            </w:r>
          </w:p>
        </w:tc>
      </w:tr>
      <w:tr>
        <w:tc>
          <w:tcPr>
            <w:tcW w:type="dxa" w:w="1300"/>
            <w:tcMar>
              <w:top w:type="dxa" w:w="80"/>
              <w:left w:type="dxa" w:w="100"/>
              <w:bottom w:type="dxa" w:w="80"/>
              <w:right w:type="dxa" w:w="100"/>
            </w:tcMar>
          </w:tcPr>
          <w:p>
            <w:r>
              <w:rPr>
                <w:b w:val="false"/>
                <w:bCs w:val="false"/>
                <w:color w:val="000000"/>
                <w:sz w:val="20"/>
                <w:szCs w:val="20"/>
              </w:rPr>
              <w:t xml:space="preserve">CODE</w:t>
            </w:r>
          </w:p>
        </w:tc>
        <w:tc>
          <w:tcPr>
            <w:tcW w:type="dxa" w:w="3600"/>
            <w:tcMar>
              <w:top w:type="dxa" w:w="80"/>
              <w:left w:type="dxa" w:w="100"/>
              <w:bottom w:type="dxa" w:w="80"/>
              <w:right w:type="dxa" w:w="100"/>
            </w:tcMar>
          </w:tcPr>
          <w:p>
            <w:r>
              <w:rPr>
                <w:b w:val="false"/>
                <w:bCs w:val="false"/>
                <w:color w:val="000000"/>
                <w:sz w:val="20"/>
                <w:szCs w:val="20"/>
              </w:rPr>
              <w:t xml:space="preserve">Context, Objective, Code, Evaluation</w:t>
            </w:r>
          </w:p>
        </w:tc>
        <w:tc>
          <w:tcPr>
            <w:tcW w:type="dxa" w:w="4300"/>
            <w:tcMar>
              <w:top w:type="dxa" w:w="80"/>
              <w:left w:type="dxa" w:w="100"/>
              <w:bottom w:type="dxa" w:w="80"/>
              <w:right w:type="dxa" w:w="100"/>
            </w:tcMar>
          </w:tcPr>
          <w:p>
            <w:r>
              <w:rPr>
                <w:b w:val="false"/>
                <w:bCs w:val="false"/>
                <w:color w:val="000000"/>
                <w:sz w:val="20"/>
                <w:szCs w:val="20"/>
              </w:rPr>
              <w:t xml:space="preserve">Code generation and debugging</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DEBUG</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Describe, Explore, Brainstorm, Understand, Fix</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Systematic software debugging</w:t>
            </w:r>
          </w:p>
        </w:tc>
      </w:tr>
      <w:tr>
        <w:tc>
          <w:tcPr>
            <w:tcW w:type="dxa" w:w="1300"/>
            <w:tcMar>
              <w:top w:type="dxa" w:w="80"/>
              <w:left w:type="dxa" w:w="100"/>
              <w:bottom w:type="dxa" w:w="80"/>
              <w:right w:type="dxa" w:w="100"/>
            </w:tcMar>
          </w:tcPr>
          <w:p>
            <w:r>
              <w:rPr>
                <w:b w:val="false"/>
                <w:bCs w:val="false"/>
                <w:color w:val="000000"/>
                <w:sz w:val="20"/>
                <w:szCs w:val="20"/>
              </w:rPr>
              <w:t xml:space="preserve">TEST</w:t>
            </w:r>
          </w:p>
        </w:tc>
        <w:tc>
          <w:tcPr>
            <w:tcW w:type="dxa" w:w="3600"/>
            <w:tcMar>
              <w:top w:type="dxa" w:w="80"/>
              <w:left w:type="dxa" w:w="100"/>
              <w:bottom w:type="dxa" w:w="80"/>
              <w:right w:type="dxa" w:w="100"/>
            </w:tcMar>
          </w:tcPr>
          <w:p>
            <w:r>
              <w:rPr>
                <w:b w:val="false"/>
                <w:bCs w:val="false"/>
                <w:color w:val="000000"/>
                <w:sz w:val="20"/>
                <w:szCs w:val="20"/>
              </w:rPr>
              <w:t xml:space="preserve">Task, Examples, Specifications, Type</w:t>
            </w:r>
          </w:p>
        </w:tc>
        <w:tc>
          <w:tcPr>
            <w:tcW w:type="dxa" w:w="4300"/>
            <w:tcMar>
              <w:top w:type="dxa" w:w="80"/>
              <w:left w:type="dxa" w:w="100"/>
              <w:bottom w:type="dxa" w:w="80"/>
              <w:right w:type="dxa" w:w="100"/>
            </w:tcMar>
          </w:tcPr>
          <w:p>
            <w:r>
              <w:rPr>
                <w:b w:val="false"/>
                <w:bCs w:val="false"/>
                <w:color w:val="000000"/>
                <w:sz w:val="20"/>
                <w:szCs w:val="20"/>
              </w:rPr>
              <w:t xml:space="preserve">Software test-case generation</w:t>
            </w:r>
          </w:p>
        </w:tc>
      </w:tr>
      <w:tr>
        <w:tc>
          <w:tcPr>
            <w:tcW w:type="dxa" w:w="1300"/>
            <w:shd w:fill="DCE6F1" w:val="clear"/>
            <w:tcMar>
              <w:top w:type="dxa" w:w="80"/>
              <w:left w:type="dxa" w:w="100"/>
              <w:bottom w:type="dxa" w:w="80"/>
              <w:right w:type="dxa" w:w="100"/>
            </w:tcMar>
          </w:tcPr>
          <w:p>
            <w:r>
              <w:rPr>
                <w:b w:val="false"/>
                <w:bCs w:val="false"/>
                <w:color w:val="000000"/>
                <w:sz w:val="20"/>
                <w:szCs w:val="20"/>
              </w:rPr>
              <w:t xml:space="preserve">SQL-synthesizer</w:t>
            </w:r>
          </w:p>
        </w:tc>
        <w:tc>
          <w:tcPr>
            <w:tcW w:type="dxa" w:w="3600"/>
            <w:shd w:fill="DCE6F1" w:val="clear"/>
            <w:tcMar>
              <w:top w:type="dxa" w:w="80"/>
              <w:left w:type="dxa" w:w="100"/>
              <w:bottom w:type="dxa" w:w="80"/>
              <w:right w:type="dxa" w:w="100"/>
            </w:tcMar>
          </w:tcPr>
          <w:p>
            <w:r>
              <w:rPr>
                <w:b w:val="false"/>
                <w:bCs w:val="false"/>
                <w:color w:val="000000"/>
                <w:sz w:val="20"/>
                <w:szCs w:val="20"/>
              </w:rPr>
              <w:t xml:space="preserve">Schema echo + query generation + validation</w:t>
            </w:r>
          </w:p>
        </w:tc>
        <w:tc>
          <w:tcPr>
            <w:tcW w:type="dxa" w:w="4300"/>
            <w:shd w:fill="DCE6F1" w:val="clear"/>
            <w:tcMar>
              <w:top w:type="dxa" w:w="80"/>
              <w:left w:type="dxa" w:w="100"/>
              <w:bottom w:type="dxa" w:w="80"/>
              <w:right w:type="dxa" w:w="100"/>
            </w:tcMar>
          </w:tcPr>
          <w:p>
            <w:r>
              <w:rPr>
                <w:b w:val="false"/>
                <w:bCs w:val="false"/>
                <w:color w:val="000000"/>
                <w:sz w:val="20"/>
                <w:szCs w:val="20"/>
              </w:rPr>
              <w:t xml:space="preserve">Text-to-SQL generation with grounding</w:t>
            </w:r>
          </w:p>
        </w:tc>
      </w:tr>
    </w:tbl>
    <w:p>
      <w:pPr>
        <w:pStyle w:val="Heading1"/>
        <w:spacing w:after="200" w:before="400"/>
      </w:pPr>
      <w:r>
        <w:t xml:space="preserve">7. Core Prompting Techniques (Research-Backed)</w:t>
      </w:r>
    </w:p>
    <w:p>
      <w:pPr>
        <w:spacing w:after="160"/>
        <w:jc w:val="both"/>
      </w:pPr>
      <w:r>
        <w:t xml:space="preserve">Unlike acronym frameworks, the following techniques originate from published research on language-model behavior. They describe *how* a model reasons or is guided, rather than *what fields* a prompt should contain. "The Prompt Report" (Schulhoff et al.) catalogs 58+ such techniques; the most load-bearing ones are summarized below.</w:t>
      </w:r>
    </w:p>
    <w:p>
      <w:pPr>
        <w:pStyle w:val="ListParagraph"/>
        <w:numPr>
          <w:ilvl w:val="0"/>
          <w:numId w:val="2"/>
        </w:numPr>
        <w:spacing w:after="80"/>
      </w:pPr>
      <w:r>
        <w:t xml:space="preserve">Zero-shot prompting — direct instruction, no examples</w:t>
      </w:r>
    </w:p>
    <w:p>
      <w:pPr>
        <w:pStyle w:val="ListParagraph"/>
        <w:numPr>
          <w:ilvl w:val="0"/>
          <w:numId w:val="2"/>
        </w:numPr>
        <w:spacing w:after="80"/>
      </w:pPr>
      <w:r>
        <w:t xml:space="preserve">Few-shot / one-shot prompting — 1-N examples to anchor format and style</w:t>
      </w:r>
    </w:p>
    <w:p>
      <w:pPr>
        <w:pStyle w:val="ListParagraph"/>
        <w:numPr>
          <w:ilvl w:val="0"/>
          <w:numId w:val="2"/>
        </w:numPr>
        <w:spacing w:after="80"/>
      </w:pPr>
      <w:r>
        <w:t xml:space="preserve">In-context learning (ICL) — general pattern behind few-shot conditioning</w:t>
      </w:r>
    </w:p>
    <w:p>
      <w:pPr>
        <w:pStyle w:val="ListParagraph"/>
        <w:numPr>
          <w:ilvl w:val="0"/>
          <w:numId w:val="2"/>
        </w:numPr>
        <w:spacing w:after="80"/>
      </w:pPr>
      <w:r>
        <w:t xml:space="preserve">Chain-of-Thought (CoT) — explicit intermediate reasoning steps</w:t>
      </w:r>
    </w:p>
    <w:p>
      <w:pPr>
        <w:pStyle w:val="ListParagraph"/>
        <w:numPr>
          <w:ilvl w:val="0"/>
          <w:numId w:val="2"/>
        </w:numPr>
        <w:spacing w:after="80"/>
      </w:pPr>
      <w:r>
        <w:t xml:space="preserve">Zero-shot CoT ("let's think step by step") — reasoning cue without examples</w:t>
      </w:r>
    </w:p>
    <w:p>
      <w:pPr>
        <w:pStyle w:val="ListParagraph"/>
        <w:numPr>
          <w:ilvl w:val="0"/>
          <w:numId w:val="2"/>
        </w:numPr>
        <w:spacing w:after="80"/>
      </w:pPr>
      <w:r>
        <w:t xml:space="preserve">Self-Consistency — sample multiple CoT paths, vote on the majority answer</w:t>
      </w:r>
    </w:p>
    <w:p>
      <w:pPr>
        <w:pStyle w:val="ListParagraph"/>
        <w:numPr>
          <w:ilvl w:val="0"/>
          <w:numId w:val="2"/>
        </w:numPr>
        <w:spacing w:after="80"/>
      </w:pPr>
      <w:r>
        <w:t xml:space="preserve">Tree-of-Thought (ToT) — branch and search over multiple reasoning paths</w:t>
      </w:r>
    </w:p>
    <w:p>
      <w:pPr>
        <w:pStyle w:val="ListParagraph"/>
        <w:numPr>
          <w:ilvl w:val="0"/>
          <w:numId w:val="2"/>
        </w:numPr>
        <w:spacing w:after="80"/>
      </w:pPr>
      <w:r>
        <w:t xml:space="preserve">Graph-of-Thoughts (GoT) — non-linear graph structure over reasoning nodes</w:t>
      </w:r>
    </w:p>
    <w:p>
      <w:pPr>
        <w:pStyle w:val="ListParagraph"/>
        <w:numPr>
          <w:ilvl w:val="0"/>
          <w:numId w:val="2"/>
        </w:numPr>
        <w:spacing w:after="80"/>
      </w:pPr>
      <w:r>
        <w:t xml:space="preserve">Least-to-Most decomposition — solve easiest sub-problems first, build up</w:t>
      </w:r>
    </w:p>
    <w:p>
      <w:pPr>
        <w:pStyle w:val="ListParagraph"/>
        <w:numPr>
          <w:ilvl w:val="0"/>
          <w:numId w:val="2"/>
        </w:numPr>
        <w:spacing w:after="80"/>
      </w:pPr>
      <w:r>
        <w:t xml:space="preserve">Program-Aided Language Models (PAL) / Program-of-Thought — offload computation to code</w:t>
      </w:r>
    </w:p>
    <w:p>
      <w:pPr>
        <w:pStyle w:val="ListParagraph"/>
        <w:numPr>
          <w:ilvl w:val="0"/>
          <w:numId w:val="2"/>
        </w:numPr>
        <w:spacing w:after="80"/>
      </w:pPr>
      <w:r>
        <w:t xml:space="preserve">ReAct — interleave reasoning traces with tool actions (Google Research)</w:t>
      </w:r>
    </w:p>
    <w:p>
      <w:pPr>
        <w:pStyle w:val="ListParagraph"/>
        <w:numPr>
          <w:ilvl w:val="0"/>
          <w:numId w:val="2"/>
        </w:numPr>
        <w:spacing w:after="80"/>
      </w:pPr>
      <w:r>
        <w:t xml:space="preserve">Self-Ask — decompose a question into answerable sub-questions</w:t>
      </w:r>
    </w:p>
    <w:p>
      <w:pPr>
        <w:pStyle w:val="ListParagraph"/>
        <w:numPr>
          <w:ilvl w:val="0"/>
          <w:numId w:val="2"/>
        </w:numPr>
        <w:spacing w:after="80"/>
      </w:pPr>
      <w:r>
        <w:t xml:space="preserve">Generated Knowledge prompting — elicit relevant facts before answering</w:t>
      </w:r>
    </w:p>
    <w:p>
      <w:pPr>
        <w:pStyle w:val="ListParagraph"/>
        <w:numPr>
          <w:ilvl w:val="0"/>
          <w:numId w:val="2"/>
        </w:numPr>
        <w:spacing w:after="80"/>
      </w:pPr>
      <w:r>
        <w:t xml:space="preserve">Directional-Stimulus prompting — hints/cues that steer generation</w:t>
      </w:r>
    </w:p>
    <w:p>
      <w:pPr>
        <w:pStyle w:val="ListParagraph"/>
        <w:numPr>
          <w:ilvl w:val="0"/>
          <w:numId w:val="2"/>
        </w:numPr>
        <w:spacing w:after="80"/>
      </w:pPr>
      <w:r>
        <w:t xml:space="preserve">Retrieval-Augmented Generation (RAG) — ground answers in retrieved documents</w:t>
      </w:r>
    </w:p>
    <w:p>
      <w:pPr>
        <w:pStyle w:val="ListParagraph"/>
        <w:numPr>
          <w:ilvl w:val="0"/>
          <w:numId w:val="2"/>
        </w:numPr>
        <w:spacing w:after="80"/>
      </w:pPr>
      <w:r>
        <w:t xml:space="preserve">Meta-prompting — instructions about how to construct or judge a prompt</w:t>
      </w:r>
    </w:p>
    <w:p>
      <w:pPr>
        <w:pStyle w:val="ListParagraph"/>
        <w:numPr>
          <w:ilvl w:val="0"/>
          <w:numId w:val="2"/>
        </w:numPr>
        <w:spacing w:after="80"/>
      </w:pPr>
      <w:r>
        <w:t xml:space="preserve">Role / persona prompting — condition style and expertise via an assigned role</w:t>
      </w:r>
    </w:p>
    <w:p>
      <w:pPr>
        <w:pStyle w:val="ListParagraph"/>
        <w:numPr>
          <w:ilvl w:val="0"/>
          <w:numId w:val="2"/>
        </w:numPr>
        <w:spacing w:after="80"/>
      </w:pPr>
      <w:r>
        <w:t xml:space="preserve">Structured-output prompting — enforce JSON/XML/schema-bound responses</w:t>
      </w:r>
    </w:p>
    <w:p>
      <w:pPr>
        <w:pStyle w:val="ListParagraph"/>
        <w:numPr>
          <w:ilvl w:val="0"/>
          <w:numId w:val="2"/>
        </w:numPr>
        <w:spacing w:after="80"/>
      </w:pPr>
      <w:r>
        <w:t xml:space="preserve">Self-Refine — iterative self-critique and revision loop</w:t>
      </w:r>
    </w:p>
    <w:p>
      <w:pPr>
        <w:pStyle w:val="ListParagraph"/>
        <w:numPr>
          <w:ilvl w:val="0"/>
          <w:numId w:val="2"/>
        </w:numPr>
        <w:spacing w:after="80"/>
      </w:pPr>
      <w:r>
        <w:t xml:space="preserve">Chain-of-Verification (CoVe) — draft, generate verification questions, revise</w:t>
      </w:r>
    </w:p>
    <w:p>
      <w:pPr>
        <w:pStyle w:val="ListParagraph"/>
        <w:numPr>
          <w:ilvl w:val="0"/>
          <w:numId w:val="2"/>
        </w:numPr>
        <w:spacing w:after="80"/>
      </w:pPr>
      <w:r>
        <w:t xml:space="preserve">Automatic Prompt Engineer (APE) — use a model to search for optimal prompts</w:t>
      </w:r>
    </w:p>
    <w:p>
      <w:pPr>
        <w:pStyle w:val="Heading1"/>
        <w:spacing w:after="200" w:before="400"/>
      </w:pPr>
      <w:r>
        <w:t xml:space="preserve">8. Multi-Agent, Verification &amp; Debate Patterns</w:t>
      </w:r>
    </w:p>
    <w:p>
      <w:pPr>
        <w:spacing w:after="160"/>
        <w:jc w:val="both"/>
      </w:pPr>
      <w:r>
        <w:t xml:space="preserve">As single-prompt techniques matured, a second layer emerged: orchestrating multiple model calls (or personas) against each other to catch errors and sharpen reasoning before a final answer is produced.</w:t>
      </w:r>
    </w:p>
    <w:p>
      <w:pPr>
        <w:pStyle w:val="ListParagraph"/>
        <w:numPr>
          <w:ilvl w:val="0"/>
          <w:numId w:val="2"/>
        </w:numPr>
        <w:spacing w:after="80"/>
      </w:pPr>
      <w:r>
        <w:t xml:space="preserve">Multi-Agent Debate (MAD) — independent agents argue and cross-critique before a final answer</w:t>
      </w:r>
    </w:p>
    <w:p>
      <w:pPr>
        <w:pStyle w:val="ListParagraph"/>
        <w:numPr>
          <w:ilvl w:val="0"/>
          <w:numId w:val="2"/>
        </w:numPr>
        <w:spacing w:after="80"/>
      </w:pPr>
      <w:r>
        <w:t xml:space="preserve">Diverse Multi-Agent Debate (DMAD) — debate with deliberately varied personas/models</w:t>
      </w:r>
    </w:p>
    <w:p>
      <w:pPr>
        <w:pStyle w:val="ListParagraph"/>
        <w:numPr>
          <w:ilvl w:val="0"/>
          <w:numId w:val="2"/>
        </w:numPr>
        <w:spacing w:after="80"/>
      </w:pPr>
      <w:r>
        <w:t xml:space="preserve">Critic–Proposer–Judge loop — one agent proposes, one critiques, one adjudicates</w:t>
      </w:r>
    </w:p>
    <w:p>
      <w:pPr>
        <w:pStyle w:val="ListParagraph"/>
        <w:numPr>
          <w:ilvl w:val="0"/>
          <w:numId w:val="2"/>
        </w:numPr>
        <w:spacing w:after="80"/>
      </w:pPr>
      <w:r>
        <w:t xml:space="preserve">Panel-of-experts — simulate domain, data, ethics, and PM perspectives in parallel</w:t>
      </w:r>
    </w:p>
    <w:p>
      <w:pPr>
        <w:pStyle w:val="ListParagraph"/>
        <w:numPr>
          <w:ilvl w:val="0"/>
          <w:numId w:val="2"/>
        </w:numPr>
        <w:spacing w:after="80"/>
      </w:pPr>
      <w:r>
        <w:t xml:space="preserve">AutoGen-style cooperative agents — planner, solver, and critic roles collaborate</w:t>
      </w:r>
    </w:p>
    <w:p>
      <w:pPr>
        <w:pStyle w:val="ListParagraph"/>
        <w:numPr>
          <w:ilvl w:val="0"/>
          <w:numId w:val="2"/>
        </w:numPr>
        <w:spacing w:after="80"/>
      </w:pPr>
      <w:r>
        <w:t xml:space="preserve">Reflexion — agents retain verbal feedback in memory to improve future attempts</w:t>
      </w:r>
    </w:p>
    <w:p>
      <w:pPr>
        <w:pStyle w:val="Heading1"/>
        <w:spacing w:after="200" w:before="400"/>
      </w:pPr>
      <w:r>
        <w:t xml:space="preserve">9. Decomposition &amp; Planning Patterns</w:t>
      </w:r>
    </w:p>
    <w:p>
      <w:pPr>
        <w:spacing w:after="160"/>
        <w:jc w:val="both"/>
      </w:pPr>
      <w:r>
        <w:t xml:space="preserve">These patterns split a complex request into a manageable pipeline of smaller, well-defined stages.</w:t>
      </w:r>
    </w:p>
    <w:p>
      <w:pPr>
        <w:pStyle w:val="ListParagraph"/>
        <w:numPr>
          <w:ilvl w:val="0"/>
          <w:numId w:val="2"/>
        </w:numPr>
        <w:spacing w:after="80"/>
      </w:pPr>
      <w:r>
        <w:t xml:space="preserve">Task → subtasks → integrate — classic divide-and-conquer decomposition</w:t>
      </w:r>
    </w:p>
    <w:p>
      <w:pPr>
        <w:pStyle w:val="ListParagraph"/>
        <w:numPr>
          <w:ilvl w:val="0"/>
          <w:numId w:val="2"/>
        </w:numPr>
        <w:spacing w:after="80"/>
      </w:pPr>
      <w:r>
        <w:t xml:space="preserve">Outline → fill → polish — drafting pipeline for long-form content</w:t>
      </w:r>
    </w:p>
    <w:p>
      <w:pPr>
        <w:pStyle w:val="ListParagraph"/>
        <w:numPr>
          <w:ilvl w:val="0"/>
          <w:numId w:val="2"/>
        </w:numPr>
        <w:spacing w:after="80"/>
      </w:pPr>
      <w:r>
        <w:t xml:space="preserve">Input triage — classify the request, route it, then solve</w:t>
      </w:r>
    </w:p>
    <w:p>
      <w:pPr>
        <w:pStyle w:val="ListParagraph"/>
        <w:numPr>
          <w:ilvl w:val="0"/>
          <w:numId w:val="2"/>
        </w:numPr>
        <w:spacing w:after="80"/>
      </w:pPr>
      <w:r>
        <w:t xml:space="preserve">Reader–Writer–Editor triad — separate roles for drafting and refining</w:t>
      </w:r>
    </w:p>
    <w:p>
      <w:pPr>
        <w:pStyle w:val="ListParagraph"/>
        <w:numPr>
          <w:ilvl w:val="0"/>
          <w:numId w:val="2"/>
        </w:numPr>
        <w:spacing w:after="80"/>
      </w:pPr>
      <w:r>
        <w:t xml:space="preserve">Plan–verify–revise loop — plan, check against constraints, revise</w:t>
      </w:r>
    </w:p>
    <w:p>
      <w:pPr>
        <w:pStyle w:val="ListParagraph"/>
        <w:numPr>
          <w:ilvl w:val="0"/>
          <w:numId w:val="2"/>
        </w:numPr>
        <w:spacing w:after="80"/>
      </w:pPr>
      <w:r>
        <w:t xml:space="preserve">Rubric-first prompting — define the evaluation rubric before generating the answer</w:t>
      </w:r>
    </w:p>
    <w:p>
      <w:pPr>
        <w:pStyle w:val="Heading1"/>
        <w:spacing w:after="200" w:before="400"/>
      </w:pPr>
      <w:r>
        <w:t xml:space="preserve">10. Retrieval &amp; Grounding Patterns</w:t>
      </w:r>
    </w:p>
    <w:p>
      <w:pPr>
        <w:spacing w:after="160"/>
        <w:jc w:val="both"/>
      </w:pPr>
      <w:r>
        <w:t xml:space="preserve">Grounding patterns reduce hallucination by anchoring generation to retrieved or extracted evidence.</w:t>
      </w:r>
    </w:p>
    <w:p>
      <w:pPr>
        <w:pStyle w:val="ListParagraph"/>
        <w:numPr>
          <w:ilvl w:val="0"/>
          <w:numId w:val="2"/>
        </w:numPr>
        <w:spacing w:after="80"/>
      </w:pPr>
      <w:r>
        <w:t xml:space="preserve">Retrieve-then-Read — fetch context first, then answer</w:t>
      </w:r>
    </w:p>
    <w:p>
      <w:pPr>
        <w:pStyle w:val="ListParagraph"/>
        <w:numPr>
          <w:ilvl w:val="0"/>
          <w:numId w:val="2"/>
        </w:numPr>
        <w:spacing w:after="80"/>
      </w:pPr>
      <w:r>
        <w:t xml:space="preserve">Query-rewrite prompting — reformulate the question before retrieval</w:t>
      </w:r>
    </w:p>
    <w:p>
      <w:pPr>
        <w:pStyle w:val="ListParagraph"/>
        <w:numPr>
          <w:ilvl w:val="0"/>
          <w:numId w:val="2"/>
        </w:numPr>
        <w:spacing w:after="80"/>
      </w:pPr>
      <w:r>
        <w:t xml:space="preserve">Cite-as-you-go — attach sources inline while generating</w:t>
      </w:r>
    </w:p>
    <w:p>
      <w:pPr>
        <w:pStyle w:val="ListParagraph"/>
        <w:numPr>
          <w:ilvl w:val="0"/>
          <w:numId w:val="2"/>
        </w:numPr>
        <w:spacing w:after="80"/>
      </w:pPr>
      <w:r>
        <w:t xml:space="preserve">Fact-table prompting — extract evidence into a structured table before answering</w:t>
      </w:r>
    </w:p>
    <w:p>
      <w:pPr>
        <w:pStyle w:val="ListParagraph"/>
        <w:numPr>
          <w:ilvl w:val="0"/>
          <w:numId w:val="2"/>
        </w:numPr>
        <w:spacing w:after="80"/>
      </w:pPr>
      <w:r>
        <w:t xml:space="preserve">Schema-bound QA — map answers directly onto predefined fields</w:t>
      </w:r>
    </w:p>
    <w:p>
      <w:pPr>
        <w:pStyle w:val="Heading1"/>
        <w:spacing w:after="200" w:before="400"/>
      </w:pPr>
      <w:r>
        <w:t xml:space="preserve">11. Output Control &amp; Formatting</w:t>
      </w:r>
    </w:p>
    <w:p>
      <w:pPr>
        <w:spacing w:after="160"/>
        <w:jc w:val="both"/>
      </w:pPr>
      <w:r>
        <w:t xml:space="preserve">Formatting techniques constrain the shape of the output so it can be parsed, graded, or fed into downstream systems.</w:t>
      </w:r>
    </w:p>
    <w:p>
      <w:pPr>
        <w:pStyle w:val="ListParagraph"/>
        <w:numPr>
          <w:ilvl w:val="0"/>
          <w:numId w:val="2"/>
        </w:numPr>
        <w:spacing w:after="80"/>
      </w:pPr>
      <w:r>
        <w:t xml:space="preserve">JSON-schema / XML scaffolds — enforce machine-parseable structure</w:t>
      </w:r>
    </w:p>
    <w:p>
      <w:pPr>
        <w:pStyle w:val="ListParagraph"/>
        <w:numPr>
          <w:ilvl w:val="0"/>
          <w:numId w:val="2"/>
        </w:numPr>
        <w:spacing w:after="80"/>
      </w:pPr>
      <w:r>
        <w:t xml:space="preserve">Markdown sectioning templates — consistent headers for long documents</w:t>
      </w:r>
    </w:p>
    <w:p>
      <w:pPr>
        <w:pStyle w:val="ListParagraph"/>
        <w:numPr>
          <w:ilvl w:val="0"/>
          <w:numId w:val="2"/>
        </w:numPr>
        <w:spacing w:after="80"/>
      </w:pPr>
      <w:r>
        <w:t xml:space="preserve">Bullet-then-expand — outline first, then elaborate each point</w:t>
      </w:r>
    </w:p>
    <w:p>
      <w:pPr>
        <w:pStyle w:val="ListParagraph"/>
        <w:numPr>
          <w:ilvl w:val="0"/>
          <w:numId w:val="2"/>
        </w:numPr>
        <w:spacing w:after="80"/>
      </w:pPr>
      <w:r>
        <w:t xml:space="preserve">Unit-test-first outputs — define pass/fail criteria before generating content</w:t>
      </w:r>
    </w:p>
    <w:p>
      <w:pPr>
        <w:pStyle w:val="ListParagraph"/>
        <w:numPr>
          <w:ilvl w:val="0"/>
          <w:numId w:val="2"/>
        </w:numPr>
        <w:spacing w:after="80"/>
      </w:pPr>
      <w:r>
        <w:t xml:space="preserve">"Do-not-do" exclusion lists — explicit negative constraints</w:t>
      </w:r>
    </w:p>
    <w:p>
      <w:pPr>
        <w:pStyle w:val="Heading1"/>
        <w:spacing w:after="200" w:before="400"/>
      </w:pPr>
      <w:r>
        <w:t xml:space="preserve">12. Safety, Reliability &amp; Evaluation Prompts</w:t>
      </w:r>
    </w:p>
    <w:p>
      <w:pPr>
        <w:spacing w:after="160"/>
        <w:jc w:val="both"/>
      </w:pPr>
      <w:r>
        <w:t xml:space="preserve">These patterns build in self-checks — for risk, bias, factual grounding, or plausibility — before an answer is finalized.</w:t>
      </w:r>
    </w:p>
    <w:p>
      <w:pPr>
        <w:pStyle w:val="ListParagraph"/>
        <w:numPr>
          <w:ilvl w:val="0"/>
          <w:numId w:val="2"/>
        </w:numPr>
        <w:spacing w:after="80"/>
      </w:pPr>
      <w:r>
        <w:t xml:space="preserve">Constitutional prompting — critique and revise against a stated set of principles</w:t>
      </w:r>
    </w:p>
    <w:p>
      <w:pPr>
        <w:pStyle w:val="ListParagraph"/>
        <w:numPr>
          <w:ilvl w:val="0"/>
          <w:numId w:val="2"/>
        </w:numPr>
        <w:spacing w:after="80"/>
      </w:pPr>
      <w:r>
        <w:t xml:space="preserve">Red-flag detection — explicitly surface risks before proceeding</w:t>
      </w:r>
    </w:p>
    <w:p>
      <w:pPr>
        <w:pStyle w:val="ListParagraph"/>
        <w:numPr>
          <w:ilvl w:val="0"/>
          <w:numId w:val="2"/>
        </w:numPr>
        <w:spacing w:after="80"/>
      </w:pPr>
      <w:r>
        <w:t xml:space="preserve">Bias-probe prompts — test outputs for skewed framing across groups</w:t>
      </w:r>
    </w:p>
    <w:p>
      <w:pPr>
        <w:pStyle w:val="ListParagraph"/>
        <w:numPr>
          <w:ilvl w:val="0"/>
          <w:numId w:val="2"/>
        </w:numPr>
        <w:spacing w:after="80"/>
      </w:pPr>
      <w:r>
        <w:t xml:space="preserve">Hallucination-audit prompts — force a citation/verification pass</w:t>
      </w:r>
    </w:p>
    <w:p>
      <w:pPr>
        <w:pStyle w:val="ListParagraph"/>
        <w:numPr>
          <w:ilvl w:val="0"/>
          <w:numId w:val="2"/>
        </w:numPr>
        <w:spacing w:after="80"/>
      </w:pPr>
      <w:r>
        <w:t xml:space="preserve">Step-locking — require confirmation before proceeding to the next step</w:t>
      </w:r>
    </w:p>
    <w:p>
      <w:pPr>
        <w:pStyle w:val="ListParagraph"/>
        <w:numPr>
          <w:ilvl w:val="0"/>
          <w:numId w:val="2"/>
        </w:numPr>
        <w:spacing w:after="80"/>
      </w:pPr>
      <w:r>
        <w:t xml:space="preserve">Sanity-check prompts — estimate, compute, then compare for plausibility</w:t>
      </w:r>
    </w:p>
    <w:p>
      <w:pPr>
        <w:pStyle w:val="Heading1"/>
        <w:spacing w:after="200" w:before="400"/>
      </w:pPr>
      <w:r>
        <w:t xml:space="preserve">13. Choosing a Framework: A Practical Decision Guide</w:t>
      </w:r>
    </w:p>
    <w:p>
      <w:pPr>
        <w:pStyle w:val="Heading2"/>
        <w:spacing w:after="150" w:before="300"/>
      </w:pPr>
      <w:r>
        <w:t xml:space="preserve">13.1 By task 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Framework</w:t>
            </w:r>
          </w:p>
        </w:tc>
        <w:tc>
          <w:tcPr>
            <w:tcW w:type="dxa" w:w="3200"/>
            <w:shd w:fill="1F3864" w:val="clear"/>
            <w:tcMar>
              <w:top w:type="dxa" w:w="80"/>
              <w:left w:type="dxa" w:w="100"/>
              <w:bottom w:type="dxa" w:w="80"/>
              <w:right w:type="dxa" w:w="100"/>
            </w:tcMar>
          </w:tcPr>
          <w:p>
            <w:r>
              <w:rPr>
                <w:b/>
                <w:bCs/>
                <w:color w:val="FFFFFF"/>
                <w:sz w:val="20"/>
                <w:szCs w:val="20"/>
              </w:rPr>
              <w:t xml:space="preserve">Components</w:t>
            </w:r>
          </w:p>
        </w:tc>
        <w:tc>
          <w:tcPr>
            <w:tcW w:type="dxa" w:w="3400"/>
            <w:shd w:fill="1F3864" w:val="clear"/>
            <w:tcMar>
              <w:top w:type="dxa" w:w="80"/>
              <w:left w:type="dxa" w:w="100"/>
              <w:bottom w:type="dxa" w:w="80"/>
              <w:right w:type="dxa" w:w="100"/>
            </w:tcMar>
          </w:tcPr>
          <w:p>
            <w:r>
              <w:rPr>
                <w:b/>
                <w:bCs/>
                <w:color w:val="FFFFFF"/>
                <w:sz w:val="20"/>
                <w:szCs w:val="20"/>
              </w:rPr>
              <w:t xml:space="preserve">Primary Use Case</w:t>
            </w:r>
          </w:p>
        </w:tc>
      </w:tr>
      <w:tr>
        <w:tc>
          <w:tcPr>
            <w:tcW w:type="dxa" w:w="2600"/>
            <w:tcMar>
              <w:top w:type="dxa" w:w="80"/>
              <w:left w:type="dxa" w:w="100"/>
              <w:bottom w:type="dxa" w:w="80"/>
              <w:right w:type="dxa" w:w="100"/>
            </w:tcMar>
          </w:tcPr>
          <w:p>
            <w:r>
              <w:rPr>
                <w:b w:val="false"/>
                <w:bCs w:val="false"/>
                <w:color w:val="000000"/>
                <w:sz w:val="20"/>
                <w:szCs w:val="20"/>
              </w:rPr>
              <w:t xml:space="preserve">Quick everyday task</w:t>
            </w:r>
          </w:p>
        </w:tc>
        <w:tc>
          <w:tcPr>
            <w:tcW w:type="dxa" w:w="3200"/>
            <w:tcMar>
              <w:top w:type="dxa" w:w="80"/>
              <w:left w:type="dxa" w:w="100"/>
              <w:bottom w:type="dxa" w:w="80"/>
              <w:right w:type="dxa" w:w="100"/>
            </w:tcMar>
          </w:tcPr>
          <w:p>
            <w:r>
              <w:rPr>
                <w:b w:val="false"/>
                <w:bCs w:val="false"/>
                <w:color w:val="000000"/>
                <w:sz w:val="20"/>
                <w:szCs w:val="20"/>
              </w:rPr>
              <w:t xml:space="preserve">APE, TAG, RTF</w:t>
            </w:r>
          </w:p>
        </w:tc>
        <w:tc>
          <w:tcPr>
            <w:tcW w:type="dxa" w:w="3400"/>
            <w:tcMar>
              <w:top w:type="dxa" w:w="80"/>
              <w:left w:type="dxa" w:w="100"/>
              <w:bottom w:type="dxa" w:w="80"/>
              <w:right w:type="dxa" w:w="100"/>
            </w:tcMar>
          </w:tcPr>
          <w:p>
            <w:r>
              <w:rPr>
                <w:b w:val="false"/>
                <w:bCs w:val="false"/>
                <w:color w:val="000000"/>
                <w:sz w:val="20"/>
                <w:szCs w:val="20"/>
              </w:rPr>
              <w:t xml:space="preserve">Minimal setup, fast to write</w:t>
            </w:r>
          </w:p>
        </w:tc>
      </w:tr>
      <w:tr>
        <w:tc>
          <w:tcPr>
            <w:tcW w:type="dxa" w:w="2600"/>
            <w:shd w:fill="DCE6F1" w:val="clear"/>
            <w:tcMar>
              <w:top w:type="dxa" w:w="80"/>
              <w:left w:type="dxa" w:w="100"/>
              <w:bottom w:type="dxa" w:w="80"/>
              <w:right w:type="dxa" w:w="100"/>
            </w:tcMar>
          </w:tcPr>
          <w:p>
            <w:r>
              <w:rPr>
                <w:b w:val="false"/>
                <w:bCs w:val="false"/>
                <w:color w:val="000000"/>
                <w:sz w:val="20"/>
                <w:szCs w:val="20"/>
              </w:rPr>
              <w:t xml:space="preserve">Customer-facing / brand content</w:t>
            </w:r>
          </w:p>
        </w:tc>
        <w:tc>
          <w:tcPr>
            <w:tcW w:type="dxa" w:w="3200"/>
            <w:shd w:fill="DCE6F1" w:val="clear"/>
            <w:tcMar>
              <w:top w:type="dxa" w:w="80"/>
              <w:left w:type="dxa" w:w="100"/>
              <w:bottom w:type="dxa" w:w="80"/>
              <w:right w:type="dxa" w:w="100"/>
            </w:tcMar>
          </w:tcPr>
          <w:p>
            <w:r>
              <w:rPr>
                <w:b w:val="false"/>
                <w:bCs w:val="false"/>
                <w:color w:val="000000"/>
                <w:sz w:val="20"/>
                <w:szCs w:val="20"/>
              </w:rPr>
              <w:t xml:space="preserve">COSTAR, CRAFT</w:t>
            </w:r>
          </w:p>
        </w:tc>
        <w:tc>
          <w:tcPr>
            <w:tcW w:type="dxa" w:w="3400"/>
            <w:shd w:fill="DCE6F1" w:val="clear"/>
            <w:tcMar>
              <w:top w:type="dxa" w:w="80"/>
              <w:left w:type="dxa" w:w="100"/>
              <w:bottom w:type="dxa" w:w="80"/>
              <w:right w:type="dxa" w:w="100"/>
            </w:tcMar>
          </w:tcPr>
          <w:p>
            <w:r>
              <w:rPr>
                <w:b w:val="false"/>
                <w:bCs w:val="false"/>
                <w:color w:val="000000"/>
                <w:sz w:val="20"/>
                <w:szCs w:val="20"/>
              </w:rPr>
              <w:t xml:space="preserve">Explicit style, tone, and audience fields</w:t>
            </w:r>
          </w:p>
        </w:tc>
      </w:tr>
      <w:tr>
        <w:tc>
          <w:tcPr>
            <w:tcW w:type="dxa" w:w="2600"/>
            <w:tcMar>
              <w:top w:type="dxa" w:w="80"/>
              <w:left w:type="dxa" w:w="100"/>
              <w:bottom w:type="dxa" w:w="80"/>
              <w:right w:type="dxa" w:w="100"/>
            </w:tcMar>
          </w:tcPr>
          <w:p>
            <w:r>
              <w:rPr>
                <w:b w:val="false"/>
                <w:bCs w:val="false"/>
                <w:color w:val="000000"/>
                <w:sz w:val="20"/>
                <w:szCs w:val="20"/>
              </w:rPr>
              <w:t xml:space="preserve">Long-form analysis or research</w:t>
            </w:r>
          </w:p>
        </w:tc>
        <w:tc>
          <w:tcPr>
            <w:tcW w:type="dxa" w:w="3200"/>
            <w:tcMar>
              <w:top w:type="dxa" w:w="80"/>
              <w:left w:type="dxa" w:w="100"/>
              <w:bottom w:type="dxa" w:w="80"/>
              <w:right w:type="dxa" w:w="100"/>
            </w:tcMar>
          </w:tcPr>
          <w:p>
            <w:r>
              <w:rPr>
                <w:b w:val="false"/>
                <w:bCs w:val="false"/>
                <w:color w:val="000000"/>
                <w:sz w:val="20"/>
                <w:szCs w:val="20"/>
              </w:rPr>
              <w:t xml:space="preserve">RISEN, RHODES, GUIDE</w:t>
            </w:r>
          </w:p>
        </w:tc>
        <w:tc>
          <w:tcPr>
            <w:tcW w:type="dxa" w:w="3400"/>
            <w:tcMar>
              <w:top w:type="dxa" w:w="80"/>
              <w:left w:type="dxa" w:w="100"/>
              <w:bottom w:type="dxa" w:w="80"/>
              <w:right w:type="dxa" w:w="100"/>
            </w:tcMar>
          </w:tcPr>
          <w:p>
            <w:r>
              <w:rPr>
                <w:b w:val="false"/>
                <w:bCs w:val="false"/>
                <w:color w:val="000000"/>
                <w:sz w:val="20"/>
                <w:szCs w:val="20"/>
              </w:rPr>
              <w:t xml:space="preserve">Built-in rigor, narrowing, and evaluation</w:t>
            </w:r>
          </w:p>
        </w:tc>
      </w:tr>
      <w:tr>
        <w:tc>
          <w:tcPr>
            <w:tcW w:type="dxa" w:w="2600"/>
            <w:shd w:fill="DCE6F1" w:val="clear"/>
            <w:tcMar>
              <w:top w:type="dxa" w:w="80"/>
              <w:left w:type="dxa" w:w="100"/>
              <w:bottom w:type="dxa" w:w="80"/>
              <w:right w:type="dxa" w:w="100"/>
            </w:tcMar>
          </w:tcPr>
          <w:p>
            <w:r>
              <w:rPr>
                <w:b w:val="false"/>
                <w:bCs w:val="false"/>
                <w:color w:val="000000"/>
                <w:sz w:val="20"/>
                <w:szCs w:val="20"/>
              </w:rPr>
              <w:t xml:space="preserve">Creative writing</w:t>
            </w:r>
          </w:p>
        </w:tc>
        <w:tc>
          <w:tcPr>
            <w:tcW w:type="dxa" w:w="3200"/>
            <w:shd w:fill="DCE6F1" w:val="clear"/>
            <w:tcMar>
              <w:top w:type="dxa" w:w="80"/>
              <w:left w:type="dxa" w:w="100"/>
              <w:bottom w:type="dxa" w:w="80"/>
              <w:right w:type="dxa" w:w="100"/>
            </w:tcMar>
          </w:tcPr>
          <w:p>
            <w:r>
              <w:rPr>
                <w:b w:val="false"/>
                <w:bCs w:val="false"/>
                <w:color w:val="000000"/>
                <w:sz w:val="20"/>
                <w:szCs w:val="20"/>
              </w:rPr>
              <w:t xml:space="preserve">CREATE, DARE, POETRY</w:t>
            </w:r>
          </w:p>
        </w:tc>
        <w:tc>
          <w:tcPr>
            <w:tcW w:type="dxa" w:w="3400"/>
            <w:shd w:fill="DCE6F1" w:val="clear"/>
            <w:tcMar>
              <w:top w:type="dxa" w:w="80"/>
              <w:left w:type="dxa" w:w="100"/>
              <w:bottom w:type="dxa" w:w="80"/>
              <w:right w:type="dxa" w:w="100"/>
            </w:tcMar>
          </w:tcPr>
          <w:p>
            <w:r>
              <w:rPr>
                <w:b w:val="false"/>
                <w:bCs w:val="false"/>
                <w:color w:val="000000"/>
                <w:sz w:val="20"/>
                <w:szCs w:val="20"/>
              </w:rPr>
              <w:t xml:space="preserve">Foregrounds character, voice, narrative</w:t>
            </w:r>
          </w:p>
        </w:tc>
      </w:tr>
      <w:tr>
        <w:tc>
          <w:tcPr>
            <w:tcW w:type="dxa" w:w="2600"/>
            <w:tcMar>
              <w:top w:type="dxa" w:w="80"/>
              <w:left w:type="dxa" w:w="100"/>
              <w:bottom w:type="dxa" w:w="80"/>
              <w:right w:type="dxa" w:w="100"/>
            </w:tcMar>
          </w:tcPr>
          <w:p>
            <w:r>
              <w:rPr>
                <w:b w:val="false"/>
                <w:bCs w:val="false"/>
                <w:color w:val="000000"/>
                <w:sz w:val="20"/>
                <w:szCs w:val="20"/>
              </w:rPr>
              <w:t xml:space="preserve">Multi-step reasoning / math / logic</w:t>
            </w:r>
          </w:p>
        </w:tc>
        <w:tc>
          <w:tcPr>
            <w:tcW w:type="dxa" w:w="3200"/>
            <w:tcMar>
              <w:top w:type="dxa" w:w="80"/>
              <w:left w:type="dxa" w:w="100"/>
              <w:bottom w:type="dxa" w:w="80"/>
              <w:right w:type="dxa" w:w="100"/>
            </w:tcMar>
          </w:tcPr>
          <w:p>
            <w:r>
              <w:rPr>
                <w:b w:val="false"/>
                <w:bCs w:val="false"/>
                <w:color w:val="000000"/>
                <w:sz w:val="20"/>
                <w:szCs w:val="20"/>
              </w:rPr>
              <w:t xml:space="preserve">Chain-of-Thought, ToT, Self-Consistency</w:t>
            </w:r>
          </w:p>
        </w:tc>
        <w:tc>
          <w:tcPr>
            <w:tcW w:type="dxa" w:w="3400"/>
            <w:tcMar>
              <w:top w:type="dxa" w:w="80"/>
              <w:left w:type="dxa" w:w="100"/>
              <w:bottom w:type="dxa" w:w="80"/>
              <w:right w:type="dxa" w:w="100"/>
            </w:tcMar>
          </w:tcPr>
          <w:p>
            <w:r>
              <w:rPr>
                <w:b w:val="false"/>
                <w:bCs w:val="false"/>
                <w:color w:val="000000"/>
                <w:sz w:val="20"/>
                <w:szCs w:val="20"/>
              </w:rPr>
              <w:t xml:space="preserve">Research-validated accuracy gains</w:t>
            </w:r>
          </w:p>
        </w:tc>
      </w:tr>
      <w:tr>
        <w:tc>
          <w:tcPr>
            <w:tcW w:type="dxa" w:w="2600"/>
            <w:shd w:fill="DCE6F1" w:val="clear"/>
            <w:tcMar>
              <w:top w:type="dxa" w:w="80"/>
              <w:left w:type="dxa" w:w="100"/>
              <w:bottom w:type="dxa" w:w="80"/>
              <w:right w:type="dxa" w:w="100"/>
            </w:tcMar>
          </w:tcPr>
          <w:p>
            <w:r>
              <w:rPr>
                <w:b w:val="false"/>
                <w:bCs w:val="false"/>
                <w:color w:val="000000"/>
                <w:sz w:val="20"/>
                <w:szCs w:val="20"/>
              </w:rPr>
              <w:t xml:space="preserve">Tool-using agents</w:t>
            </w:r>
          </w:p>
        </w:tc>
        <w:tc>
          <w:tcPr>
            <w:tcW w:type="dxa" w:w="3200"/>
            <w:shd w:fill="DCE6F1" w:val="clear"/>
            <w:tcMar>
              <w:top w:type="dxa" w:w="80"/>
              <w:left w:type="dxa" w:w="100"/>
              <w:bottom w:type="dxa" w:w="80"/>
              <w:right w:type="dxa" w:w="100"/>
            </w:tcMar>
          </w:tcPr>
          <w:p>
            <w:r>
              <w:rPr>
                <w:b w:val="false"/>
                <w:bCs w:val="false"/>
                <w:color w:val="000000"/>
                <w:sz w:val="20"/>
                <w:szCs w:val="20"/>
              </w:rPr>
              <w:t xml:space="preserve">ReAct, PAL, AutoGen-style multi-agent</w:t>
            </w:r>
          </w:p>
        </w:tc>
        <w:tc>
          <w:tcPr>
            <w:tcW w:type="dxa" w:w="3400"/>
            <w:shd w:fill="DCE6F1" w:val="clear"/>
            <w:tcMar>
              <w:top w:type="dxa" w:w="80"/>
              <w:left w:type="dxa" w:w="100"/>
              <w:bottom w:type="dxa" w:w="80"/>
              <w:right w:type="dxa" w:w="100"/>
            </w:tcMar>
          </w:tcPr>
          <w:p>
            <w:r>
              <w:rPr>
                <w:b w:val="false"/>
                <w:bCs w:val="false"/>
                <w:color w:val="000000"/>
                <w:sz w:val="20"/>
                <w:szCs w:val="20"/>
              </w:rPr>
              <w:t xml:space="preserve">Interleaves reasoning with actions</w:t>
            </w:r>
          </w:p>
        </w:tc>
      </w:tr>
      <w:tr>
        <w:tc>
          <w:tcPr>
            <w:tcW w:type="dxa" w:w="2600"/>
            <w:tcMar>
              <w:top w:type="dxa" w:w="80"/>
              <w:left w:type="dxa" w:w="100"/>
              <w:bottom w:type="dxa" w:w="80"/>
              <w:right w:type="dxa" w:w="100"/>
            </w:tcMar>
          </w:tcPr>
          <w:p>
            <w:r>
              <w:rPr>
                <w:b w:val="false"/>
                <w:bCs w:val="false"/>
                <w:color w:val="000000"/>
                <w:sz w:val="20"/>
                <w:szCs w:val="20"/>
              </w:rPr>
              <w:t xml:space="preserve">High-stakes / fact-sensitive output</w:t>
            </w:r>
          </w:p>
        </w:tc>
        <w:tc>
          <w:tcPr>
            <w:tcW w:type="dxa" w:w="3200"/>
            <w:tcMar>
              <w:top w:type="dxa" w:w="80"/>
              <w:left w:type="dxa" w:w="100"/>
              <w:bottom w:type="dxa" w:w="80"/>
              <w:right w:type="dxa" w:w="100"/>
            </w:tcMar>
          </w:tcPr>
          <w:p>
            <w:r>
              <w:rPr>
                <w:b w:val="false"/>
                <w:bCs w:val="false"/>
                <w:color w:val="000000"/>
                <w:sz w:val="20"/>
                <w:szCs w:val="20"/>
              </w:rPr>
              <w:t xml:space="preserve">RAG, Chain-of-Verification, Fact-table prompting</w:t>
            </w:r>
          </w:p>
        </w:tc>
        <w:tc>
          <w:tcPr>
            <w:tcW w:type="dxa" w:w="3400"/>
            <w:tcMar>
              <w:top w:type="dxa" w:w="80"/>
              <w:left w:type="dxa" w:w="100"/>
              <w:bottom w:type="dxa" w:w="80"/>
              <w:right w:type="dxa" w:w="100"/>
            </w:tcMar>
          </w:tcPr>
          <w:p>
            <w:r>
              <w:rPr>
                <w:b w:val="false"/>
                <w:bCs w:val="false"/>
                <w:color w:val="000000"/>
                <w:sz w:val="20"/>
                <w:szCs w:val="20"/>
              </w:rPr>
              <w:t xml:space="preserve">Explicit grounding and verification</w:t>
            </w:r>
          </w:p>
        </w:tc>
      </w:tr>
      <w:tr>
        <w:tc>
          <w:tcPr>
            <w:tcW w:type="dxa" w:w="2600"/>
            <w:shd w:fill="DCE6F1" w:val="clear"/>
            <w:tcMar>
              <w:top w:type="dxa" w:w="80"/>
              <w:left w:type="dxa" w:w="100"/>
              <w:bottom w:type="dxa" w:w="80"/>
              <w:right w:type="dxa" w:w="100"/>
            </w:tcMar>
          </w:tcPr>
          <w:p>
            <w:r>
              <w:rPr>
                <w:b w:val="false"/>
                <w:bCs w:val="false"/>
                <w:color w:val="000000"/>
                <w:sz w:val="20"/>
                <w:szCs w:val="20"/>
              </w:rPr>
              <w:t xml:space="preserve">Structured / machine-readable output</w:t>
            </w:r>
          </w:p>
        </w:tc>
        <w:tc>
          <w:tcPr>
            <w:tcW w:type="dxa" w:w="3200"/>
            <w:shd w:fill="DCE6F1" w:val="clear"/>
            <w:tcMar>
              <w:top w:type="dxa" w:w="80"/>
              <w:left w:type="dxa" w:w="100"/>
              <w:bottom w:type="dxa" w:w="80"/>
              <w:right w:type="dxa" w:w="100"/>
            </w:tcMar>
          </w:tcPr>
          <w:p>
            <w:r>
              <w:rPr>
                <w:b w:val="false"/>
                <w:bCs w:val="false"/>
                <w:color w:val="000000"/>
                <w:sz w:val="20"/>
                <w:szCs w:val="20"/>
              </w:rPr>
              <w:t xml:space="preserve">JSON-schema prompting, Schema-bound QA</w:t>
            </w:r>
          </w:p>
        </w:tc>
        <w:tc>
          <w:tcPr>
            <w:tcW w:type="dxa" w:w="3400"/>
            <w:shd w:fill="DCE6F1" w:val="clear"/>
            <w:tcMar>
              <w:top w:type="dxa" w:w="80"/>
              <w:left w:type="dxa" w:w="100"/>
              <w:bottom w:type="dxa" w:w="80"/>
              <w:right w:type="dxa" w:w="100"/>
            </w:tcMar>
          </w:tcPr>
          <w:p>
            <w:r>
              <w:rPr>
                <w:b w:val="false"/>
                <w:bCs w:val="false"/>
                <w:color w:val="000000"/>
                <w:sz w:val="20"/>
                <w:szCs w:val="20"/>
              </w:rPr>
              <w:t xml:space="preserve">Guarantees parseable format</w:t>
            </w:r>
          </w:p>
        </w:tc>
      </w:tr>
    </w:tbl>
    <w:p>
      <w:pPr>
        <w:pStyle w:val="Heading2"/>
        <w:spacing w:after="150" w:before="300"/>
      </w:pPr>
      <w:r>
        <w:t xml:space="preserve">13.2 Combining layers</w:t>
      </w:r>
    </w:p>
    <w:p>
      <w:pPr>
        <w:spacing w:after="160"/>
        <w:jc w:val="both"/>
      </w:pPr>
      <w:r>
        <w:t xml:space="preserve">In practice, the two currents are complementary rather than competing: an acronym framework (e.g., COSTAR) is often used to structure the *prompt itself*, while a research-backed technique (e.g., Chain-of-Thought or Self-Consistency) is layered inside the "task" or "instruction" field to shape *how the model reasons* about that task. A well-built enterprise prompt library typically standardizes on one or two structural frameworks for consistency, while allowing technique selection (CoT, RAG, verification) to vary by task complexity.</w:t>
      </w:r>
    </w:p>
    <w:p>
      <w:pPr>
        <w:pStyle w:val="Heading1"/>
        <w:spacing w:after="200" w:before="400"/>
      </w:pPr>
      <w:r>
        <w:t xml:space="preserve">14. Key Sources for Further Reading</w:t>
      </w:r>
    </w:p>
    <w:p>
      <w:pPr>
        <w:pStyle w:val="ListParagraph"/>
        <w:numPr>
          <w:ilvl w:val="0"/>
          <w:numId w:val="2"/>
        </w:numPr>
        <w:spacing w:after="80"/>
      </w:pPr>
      <w:r>
        <w:t xml:space="preserve">The Prompt Report — a survey-style taxonomy of 58+ text-based prompting techniques; the most cited foundational index in the field.</w:t>
      </w:r>
    </w:p>
    <w:p>
      <w:pPr>
        <w:pStyle w:val="ListParagraph"/>
        <w:numPr>
          <w:ilvl w:val="0"/>
          <w:numId w:val="2"/>
        </w:numPr>
        <w:spacing w:after="80"/>
      </w:pPr>
      <w:r>
        <w:t xml:space="preserve">PromptingGuide.ai — a continuously updated living catalog covering CoT, ToT, Self-Consistency, ReAct, PAL, and related methods.</w:t>
      </w:r>
    </w:p>
    <w:p>
      <w:pPr>
        <w:pStyle w:val="ListParagraph"/>
        <w:numPr>
          <w:ilvl w:val="0"/>
          <w:numId w:val="2"/>
        </w:numPr>
        <w:spacing w:after="80"/>
      </w:pPr>
      <w:r>
        <w:t xml:space="preserve">ReAct (Google Research) — the original reasoning-plus-acting paradigm paper.</w:t>
      </w:r>
    </w:p>
    <w:p>
      <w:pPr>
        <w:pStyle w:val="ListParagraph"/>
        <w:numPr>
          <w:ilvl w:val="0"/>
          <w:numId w:val="2"/>
        </w:numPr>
        <w:spacing w:after="80"/>
      </w:pPr>
      <w:r>
        <w:t xml:space="preserve">Self-Refine (NeurIPS / OpenReview) — iterative self-feedback and refinement.</w:t>
      </w:r>
    </w:p>
    <w:p>
      <w:pPr>
        <w:pStyle w:val="ListParagraph"/>
        <w:numPr>
          <w:ilvl w:val="0"/>
          <w:numId w:val="2"/>
        </w:numPr>
        <w:spacing w:after="80"/>
      </w:pPr>
      <w:r>
        <w:t xml:space="preserve">Chain-of-Verification (ACL Findings 2024) — plan verification questions, answer them, then revise.</w:t>
      </w:r>
    </w:p>
    <w:p>
      <w:pPr>
        <w:pStyle w:val="ListParagraph"/>
        <w:numPr>
          <w:ilvl w:val="0"/>
          <w:numId w:val="2"/>
        </w:numPr>
        <w:spacing w:after="80"/>
      </w:pPr>
      <w:r>
        <w:t xml:space="preserve">Multi-Agent Debate literature (arXiv) — evidence that structured debate improves factuality and reasoning accuracy.</w:t>
      </w:r>
    </w:p>
    <w:p>
      <w:pPr>
        <w:pStyle w:val="ListParagraph"/>
        <w:numPr>
          <w:ilvl w:val="0"/>
          <w:numId w:val="2"/>
        </w:numPr>
        <w:spacing w:after="80"/>
      </w:pPr>
      <w:r>
        <w:t xml:space="preserve">Nielsen Norman Group — the CARE framework, from a UX-research lens.</w:t>
      </w:r>
    </w:p>
    <w:p>
      <w:pPr>
        <w:pStyle w:val="ListParagraph"/>
        <w:numPr>
          <w:ilvl w:val="0"/>
          <w:numId w:val="2"/>
        </w:numPr>
        <w:spacing w:after="80"/>
      </w:pPr>
      <w:r>
        <w:t xml:space="preserve">Sheila Teo / GovTech Singapore — the widely taught COSTAR framework.</w:t>
      </w:r>
    </w:p>
    <w:p>
      <w:pPr>
        <w:pStyle w:val="Heading1"/>
        <w:spacing w:after="200" w:before="400"/>
      </w:pPr>
      <w:r>
        <w:t xml:space="preserve">15. Conclusion</w:t>
      </w:r>
    </w:p>
    <w:p>
      <w:pPr>
        <w:spacing w:after="160"/>
        <w:jc w:val="both"/>
      </w:pPr>
      <w:r>
        <w:t xml:space="preserve">No single framework is universally superior — each acronym is essentially a different lens on the same underlying ingredients: who the model should act as, what it knows, what it must produce, and how success will be judged. The research-backed techniques (CoT, ReAct, RAG, Self-Consistency, verification loops) matter more for output quality on non-trivial tasks, while acronym frameworks matter more for consistency and speed when prompting at scale or training a team. The strongest practice is to pick one structural framework as a default, and consciously layer in a reasoning or verification technique whenever the task's complexity or stakes warrant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8" w:space="4"/>
      </w:pBdr>
      <w:spacing w:after="180" w:before="360"/>
    </w:pPr>
    <w:rPr>
      <w:rFonts w:ascii="Calibri" w:cs="Calibri" w:eastAsia="Calibri" w:hAnsi="Calibri"/>
      <w:b/>
      <w:bCs/>
      <w:color w:val="1F3864"/>
      <w:sz w:val="32"/>
      <w:szCs w:val="32"/>
    </w:rPr>
  </w:style>
  <w:style w:type="paragraph" w:styleId="Heading2">
    <w:name w:val="Heading 2"/>
    <w:basedOn w:val="Normal"/>
    <w:next w:val="Normal"/>
    <w:pPr>
      <w:spacing w:after="140" w:before="280"/>
    </w:pPr>
    <w:rPr>
      <w:rFonts w:ascii="Calibri" w:cs="Calibri" w:eastAsia="Calibri" w:hAnsi="Calibri"/>
      <w:b/>
      <w:bCs/>
      <w:color w:val="2E74B5"/>
      <w:sz w:val="26"/>
      <w:szCs w:val="26"/>
    </w:rPr>
  </w:style>
  <w:style w:type="paragraph" w:styleId="Heading3">
    <w:name w:val="Heading 3"/>
    <w:basedOn w:val="Normal"/>
    <w:next w:val="Normal"/>
    <w:pPr>
      <w:spacing w:after="100" w:before="200"/>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2026-07-05T16:48:03.632Z</dcterms:created>
  <dcterms:modified xsi:type="dcterms:W3CDTF">2026-07-05T16:48:03.647Z</dcterms:modified>
</cp:coreProperties>
</file>

<file path=docProps/custom.xml><?xml version="1.0" encoding="utf-8"?>
<Properties xmlns="http://schemas.openxmlformats.org/officeDocument/2006/custom-properties" xmlns:vt="http://schemas.openxmlformats.org/officeDocument/2006/docPropsVTypes"/>
</file>