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1E73"/>
          <w:sz w:val="52"/>
        </w:rPr>
        <w:t>BayI</w:t>
      </w:r>
      <w:r>
        <w:rPr>
          <w:b/>
          <w:color w:val="1E1630"/>
          <w:sz w:val="44"/>
        </w:rPr>
        <w:t xml:space="preserve">  Agent — Statement of Work</w:t>
      </w:r>
    </w:p>
    <w:p>
      <w:r>
        <w:rPr>
          <w:color w:val="6B6480"/>
          <w:sz w:val="21"/>
        </w:rPr>
        <w:t>Internal Statement of Work for the BayI Agent platform — a grounded natural-language query and document-ingest system over the BayOne Snowflake warehouse, and its hosted, access-controlled rollout to BayOne staff.</w:t>
      </w:r>
    </w:p>
    <w:p>
      <w:r>
        <w:rPr>
          <w:b/>
          <w:color w:val="8A6100"/>
          <w:sz w:val="18"/>
        </w:rPr>
        <w:t>DRAFT FOR REVIEW · v0.1</w:t>
      </w:r>
    </w:p>
    <w:p/>
    <w:p>
      <w:r>
        <w:rPr>
          <w:b/>
          <w:color w:val="1E1630"/>
          <w:sz w:val="21"/>
        </w:rP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  <w:shd w:val="clear" w:fill="EDE4FB"/>
          </w:tcPr>
          <w:p>
            <w:r/>
            <w:r>
              <w:rPr>
                <w:b/>
                <w:sz w:val="20"/>
              </w:rPr>
              <w:t>Field</w:t>
            </w:r>
          </w:p>
        </w:tc>
        <w:tc>
          <w:tcPr>
            <w:tcW w:type="dxa" w:w="6768"/>
            <w:shd w:val="clear" w:fill="EDE4FB"/>
          </w:tcPr>
          <w:p>
            <w:r/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Project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  <w:t>BayI Agent — grounded Snowflake query &amp; ingest platform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Organization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  <w:t>BayOne Solutions (internal project)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Delivery owner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  <w:t>Atharv Sharma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Document type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  <w:t>Statement of Work (internal)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Version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  <w:t>0.1 (Draft for review)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Effective date</w:t>
            </w:r>
          </w:p>
        </w:tc>
        <w:tc>
          <w:tcPr>
            <w:tcW w:type="dxa" w:w="6768"/>
          </w:tcPr>
          <w:p>
            <w:r/>
            <w:r>
              <w:rPr>
                <w:b/>
                <w:color w:val="8A6100"/>
                <w:sz w:val="20"/>
              </w:rPr>
              <w:t>[TBD]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Status</w:t>
            </w:r>
          </w:p>
        </w:tc>
        <w:tc>
          <w:tcPr>
            <w:tcW w:type="dxa" w:w="6768"/>
          </w:tcPr>
          <w:p>
            <w:r/>
            <w:r>
              <w:rPr>
                <w:b/>
                <w:color w:val="8A6100"/>
                <w:sz w:val="20"/>
              </w:rPr>
              <w:t>Draft — pending sign-off</w:t>
            </w:r>
          </w:p>
        </w:tc>
      </w:tr>
    </w:tbl>
    <w:p>
      <w:pPr>
        <w:ind w:left="216"/>
      </w:pPr>
      <w:r>
        <w:rPr>
          <w:b/>
          <w:color w:val="7C3AED"/>
        </w:rPr>
        <w:t xml:space="preserve">▍ </w:t>
      </w:r>
      <w:r>
        <w:rPr>
          <w:sz w:val="20"/>
        </w:rPr>
        <w:t>This is an internal scope-of-record. Timeline dates and pricing are intentionally left as [TBD] placeholders to be completed at sign-off. The companion security detail lives in docs/security-model.docx.</w:t>
      </w:r>
    </w:p>
    <w:p>
      <w:pPr>
        <w:spacing w:before="280"/>
      </w:pPr>
      <w:r>
        <w:rPr>
          <w:b/>
          <w:color w:val="7C3AED"/>
          <w:sz w:val="30"/>
        </w:rPr>
        <w:t>1   Background &amp; purpose</w:t>
      </w:r>
    </w:p>
    <w:p>
      <w:r>
        <w:rPr>
          <w:color w:val="6B6480"/>
          <w:sz w:val="20"/>
        </w:rPr>
        <w:t>BayI Agent answers questions about BayOne's data by querying Snowflake and responding from the actual query results — never from model recall. It supports pre-call intelligence and internal analysis where every figure must be traceable to the warehouse.</w:t>
      </w:r>
    </w:p>
    <w:p>
      <w:pPr>
        <w:pStyle w:val="ListBullet"/>
      </w:pPr>
      <w:r>
        <w:rPr>
          <w:b/>
          <w:sz w:val="21"/>
        </w:rPr>
        <w:t>Grounded answers</w:t>
      </w:r>
      <w:r>
        <w:rPr>
          <w:color w:val="6B6480"/>
          <w:sz w:val="21"/>
        </w:rPr>
        <w:t xml:space="preserve"> — the agent writes SELECT-only SQL, runs it, and answers strictly from the returned rows, with the executed SQL captured for audit.</w:t>
      </w:r>
    </w:p>
    <w:p>
      <w:pPr>
        <w:pStyle w:val="ListBullet"/>
      </w:pPr>
      <w:r>
        <w:rPr>
          <w:b/>
          <w:sz w:val="21"/>
        </w:rPr>
        <w:t>Knowledge ingest</w:t>
      </w:r>
      <w:r>
        <w:rPr>
          <w:color w:val="6B6480"/>
          <w:sz w:val="21"/>
        </w:rPr>
        <w:t xml:space="preserve"> — authorized users upload documents; Claude structures them into two fixed Snowflake tables (blocks + facts) that become queryable knowledge.</w:t>
      </w:r>
    </w:p>
    <w:p>
      <w:pPr>
        <w:pStyle w:val="ListBullet"/>
      </w:pPr>
      <w:r>
        <w:rPr>
          <w:b/>
          <w:sz w:val="21"/>
        </w:rPr>
        <w:t>Three data classes</w:t>
      </w:r>
      <w:r>
        <w:rPr>
          <w:color w:val="6B6480"/>
          <w:sz w:val="21"/>
        </w:rPr>
        <w:t xml:space="preserve"> — ingested content is classified internal (shared, the default), private (readable only by the ingester), or protected (readable only by one privileged Entra group); a logged break-glass admin can read all of it.</w:t>
      </w:r>
    </w:p>
    <w:p>
      <w:pPr>
        <w:spacing w:before="280"/>
      </w:pPr>
      <w:r>
        <w:rPr>
          <w:b/>
          <w:color w:val="7C3AED"/>
          <w:sz w:val="30"/>
        </w:rPr>
        <w:t>2   Objectives &amp; success criteria</w:t>
      </w:r>
    </w:p>
    <w:p>
      <w:pPr>
        <w:pStyle w:val="ListBullet"/>
      </w:pPr>
      <w:r>
        <w:rPr>
          <w:b/>
          <w:sz w:val="21"/>
        </w:rPr>
        <w:t>Accurate, grounded responses</w:t>
      </w:r>
      <w:r>
        <w:rPr>
          <w:color w:val="6B6480"/>
          <w:sz w:val="21"/>
        </w:rPr>
        <w:t xml:space="preserve"> — natural-language questions resolve to correct answers backed by live Snowflake queries (validated against ground-truth evals).</w:t>
      </w:r>
    </w:p>
    <w:p>
      <w:pPr>
        <w:pStyle w:val="ListBullet"/>
      </w:pPr>
      <w:r>
        <w:rPr>
          <w:b/>
          <w:sz w:val="21"/>
        </w:rPr>
        <w:t>Safe ingest round-trip</w:t>
      </w:r>
      <w:r>
        <w:rPr>
          <w:color w:val="6B6480"/>
          <w:sz w:val="21"/>
        </w:rPr>
        <w:t xml:space="preserve"> — uploaded documents structure, preview, and load into the knowledge tables without model-authored write SQL.</w:t>
      </w:r>
    </w:p>
    <w:p>
      <w:pPr>
        <w:pStyle w:val="ListBullet"/>
      </w:pPr>
      <w:r>
        <w:rPr>
          <w:b/>
          <w:sz w:val="21"/>
        </w:rPr>
        <w:t>Least-privilege data access</w:t>
      </w:r>
      <w:r>
        <w:rPr>
          <w:color w:val="6B6480"/>
          <w:sz w:val="21"/>
        </w:rPr>
        <w:t xml:space="preserve"> — the app connects through purpose-scoped Snowflake roles, not ACCOUNTADMIN.</w:t>
      </w:r>
    </w:p>
    <w:p>
      <w:pPr>
        <w:pStyle w:val="ListBullet"/>
      </w:pPr>
      <w:r>
        <w:rPr>
          <w:b/>
          <w:sz w:val="21"/>
        </w:rPr>
        <w:t>Owner- and group-scoped privacy</w:t>
      </w:r>
      <w:r>
        <w:rPr>
          <w:color w:val="6B6480"/>
          <w:sz w:val="21"/>
        </w:rPr>
        <w:t xml:space="preserve"> — private data is physically unreadable to anyone but its owner, and protected data only to the privileged group — both enforced in the database.</w:t>
      </w:r>
    </w:p>
    <w:p>
      <w:pPr>
        <w:pStyle w:val="ListBullet"/>
      </w:pPr>
      <w:r>
        <w:rPr>
          <w:b/>
          <w:sz w:val="21"/>
        </w:rPr>
        <w:t>Single secured URL</w:t>
      </w:r>
      <w:r>
        <w:rPr>
          <w:color w:val="6B6480"/>
          <w:sz w:val="21"/>
        </w:rPr>
        <w:t xml:space="preserve"> — BayOne staff reach the agent at one authenticated HTTPS endpoint.</w:t>
      </w:r>
    </w:p>
    <w:p>
      <w:pPr>
        <w:spacing w:before="280"/>
      </w:pPr>
      <w:r>
        <w:rPr>
          <w:b/>
          <w:color w:val="7C3AED"/>
          <w:sz w:val="30"/>
        </w:rPr>
        <w:t>3   Scope of work</w:t>
      </w:r>
    </w:p>
    <w:p>
      <w:r>
        <w:rPr>
          <w:b/>
          <w:color w:val="1E1630"/>
          <w:sz w:val="21"/>
        </w:rPr>
        <w:t>IN SCOPE</w:t>
      </w:r>
    </w:p>
    <w:p>
      <w:pPr>
        <w:pStyle w:val="ListBullet"/>
      </w:pPr>
      <w:r>
        <w:rPr>
          <w:sz w:val="21"/>
        </w:rPr>
        <w:t>Natural-language query agent (Anthropic tool-use loop) with question routing.</w:t>
      </w:r>
    </w:p>
    <w:p>
      <w:pPr>
        <w:pStyle w:val="ListBullet"/>
      </w:pPr>
      <w:r>
        <w:rPr>
          <w:sz w:val="21"/>
        </w:rPr>
        <w:t>Read-only SQL execution tool with an in-process safety guard.</w:t>
      </w:r>
    </w:p>
    <w:p>
      <w:pPr>
        <w:pStyle w:val="ListBullet"/>
      </w:pPr>
      <w:r>
        <w:rPr>
          <w:sz w:val="21"/>
        </w:rPr>
        <w:t>Optional Snowflake Cortex Analyst path (semantic-view NL→SQL).</w:t>
      </w:r>
    </w:p>
    <w:p>
      <w:pPr>
        <w:pStyle w:val="ListBullet"/>
      </w:pPr>
      <w:r>
        <w:rPr>
          <w:sz w:val="21"/>
        </w:rPr>
        <w:t>Document-ingest pipeline: structure → preview → commit, with ingest history.</w:t>
      </w:r>
    </w:p>
    <w:p>
      <w:pPr>
        <w:pStyle w:val="ListBullet"/>
      </w:pPr>
      <w:r>
        <w:rPr>
          <w:sz w:val="21"/>
        </w:rPr>
        <w:t>Web UI for query and ingest.</w:t>
      </w:r>
    </w:p>
    <w:p>
      <w:pPr>
        <w:pStyle w:val="ListBullet"/>
      </w:pPr>
      <w:r>
        <w:rPr>
          <w:sz w:val="21"/>
        </w:rPr>
        <w:t>Hosted deployment on Azure App Service with Microsoft Entra authentication.</w:t>
      </w:r>
    </w:p>
    <w:p>
      <w:pPr>
        <w:pStyle w:val="ListBullet"/>
      </w:pPr>
      <w:r>
        <w:rPr>
          <w:sz w:val="21"/>
        </w:rPr>
        <w:t>Three-tier data-privacy security model (least-privilege roles + owner- and group-based row-access policy).</w:t>
      </w:r>
    </w:p>
    <w:p>
      <w:r>
        <w:rPr>
          <w:b/>
          <w:color w:val="1E1630"/>
          <w:sz w:val="21"/>
        </w:rPr>
        <w:t>OUT OF SCOPE</w:t>
      </w:r>
    </w:p>
    <w:p>
      <w:pPr>
        <w:pStyle w:val="ListBullet"/>
      </w:pPr>
      <w:r>
        <w:rPr>
          <w:sz w:val="21"/>
        </w:rPr>
        <w:t>A custom / fine-tuned text-to-SQL model (Cortex Analyst owns NL→SQL where used).</w:t>
      </w:r>
    </w:p>
    <w:p>
      <w:pPr>
        <w:pStyle w:val="ListBullet"/>
      </w:pPr>
      <w:r>
        <w:rPr>
          <w:sz w:val="21"/>
        </w:rPr>
        <w:t>Access for non-BayOne tenants or external/anonymous users.</w:t>
      </w:r>
    </w:p>
    <w:p>
      <w:pPr>
        <w:pStyle w:val="ListBullet"/>
      </w:pPr>
      <w:r>
        <w:rPr>
          <w:sz w:val="21"/>
        </w:rPr>
        <w:t>Data migration or ETL beyond the named knowledge-base tables.</w:t>
      </w:r>
    </w:p>
    <w:p>
      <w:pPr>
        <w:pStyle w:val="ListBullet"/>
      </w:pPr>
      <w:r>
        <w:rPr>
          <w:sz w:val="21"/>
        </w:rPr>
        <w:t>BI dashboards or reporting front-ends outside the agent UI.</w:t>
      </w:r>
    </w:p>
    <w:p>
      <w:pPr>
        <w:spacing w:before="280"/>
      </w:pPr>
      <w:r>
        <w:rPr>
          <w:b/>
          <w:color w:val="7C3AED"/>
          <w:sz w:val="30"/>
        </w:rPr>
        <w:t>4   Deliverables</w:t>
      </w:r>
    </w:p>
    <w:p>
      <w:r>
        <w:rPr>
          <w:color w:val="6B6480"/>
          <w:sz w:val="20"/>
        </w:rPr>
        <w:t>Status reflects the codebase today: the core platform is built; the hosted, secured rollout is designed and paused, pending go-ahead.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888"/>
            <w:shd w:val="clear" w:fill="EDE4FB"/>
          </w:tcPr>
          <w:p>
            <w:r/>
            <w:r>
              <w:rPr>
                <w:b/>
                <w:sz w:val="20"/>
              </w:rPr>
              <w:t>Deliverable</w:t>
            </w:r>
          </w:p>
        </w:tc>
        <w:tc>
          <w:tcPr>
            <w:tcW w:type="dxa" w:w="3744"/>
            <w:shd w:val="clear" w:fill="EDE4FB"/>
          </w:tcPr>
          <w:p>
            <w:r/>
            <w:r>
              <w:rPr>
                <w:b/>
                <w:sz w:val="20"/>
              </w:rPr>
              <w:t>Key modules</w:t>
            </w:r>
          </w:p>
        </w:tc>
        <w:tc>
          <w:tcPr>
            <w:tcW w:type="dxa" w:w="1440"/>
            <w:shd w:val="clear" w:fill="EDE4FB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  <w:sz w:val="20"/>
              </w:rPr>
              <w:t>Query agent loop + question routing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20"/>
              </w:rPr>
              <w:t>agent.py, router.py, prompts.py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F52"/>
                <w:sz w:val="20"/>
              </w:rPr>
              <w:t>Delivered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  <w:sz w:val="20"/>
              </w:rPr>
              <w:t>Read-only SQL tool + guard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20"/>
              </w:rPr>
              <w:t>tools/run_sql.py, sql_guard.py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F52"/>
                <w:sz w:val="20"/>
              </w:rPr>
              <w:t>Delivered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  <w:sz w:val="20"/>
              </w:rPr>
              <w:t>Cortex Analyst tool (optional)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20"/>
              </w:rPr>
              <w:t>tools/cortex_analyst.py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F52"/>
                <w:sz w:val="20"/>
              </w:rPr>
              <w:t>Delivered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  <w:sz w:val="20"/>
              </w:rPr>
              <w:t>Grounded structured answers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20"/>
              </w:rPr>
              <w:t>types.py, prompts.py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F52"/>
                <w:sz w:val="20"/>
              </w:rPr>
              <w:t>Delivered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  <w:sz w:val="20"/>
              </w:rPr>
              <w:t>Snowflake connection + typed config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20"/>
              </w:rPr>
              <w:t>connection.py, config.py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F52"/>
                <w:sz w:val="20"/>
              </w:rPr>
              <w:t>Delivered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  <w:sz w:val="20"/>
              </w:rPr>
              <w:t>Ingest pipeline + history store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20"/>
              </w:rPr>
              <w:t>ingest.py, ingest_store.py, ingest_drafts.py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F52"/>
                <w:sz w:val="20"/>
              </w:rPr>
              <w:t>Delivered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  <w:sz w:val="20"/>
              </w:rPr>
              <w:t>Web application + UI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20"/>
              </w:rPr>
              <w:t>web.py, static/index.html, static/ingest.html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F52"/>
                <w:sz w:val="20"/>
              </w:rPr>
              <w:t>Delivered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  <w:sz w:val="20"/>
              </w:rPr>
              <w:t>Automated test suite (integration-gated)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20"/>
              </w:rPr>
              <w:t>tests/ (17 files)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F52"/>
                <w:sz w:val="20"/>
              </w:rPr>
              <w:t>Delivered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  <w:sz w:val="20"/>
              </w:rPr>
              <w:t>Azure hosting + Entra Easy Auth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20"/>
              </w:rPr>
              <w:t>deployment config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7C3AED"/>
                <w:sz w:val="20"/>
              </w:rPr>
              <w:t>Planned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  <w:sz w:val="20"/>
              </w:rPr>
              <w:t>Least-privilege Snowflake roles + SENSITIVITY &amp; INGESTED_BY columns + owner/group row policy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20"/>
              </w:rPr>
              <w:t>Snowflake DDL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7C3AED"/>
                <w:sz w:val="20"/>
              </w:rPr>
              <w:t>Planned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  <w:sz w:val="20"/>
              </w:rPr>
              <w:t>Three-tier sensitivity toggle (internal / private / protected) + ingest-only enforcement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20"/>
              </w:rPr>
              <w:t>web.py, static/ingest.html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F52"/>
                <w:sz w:val="20"/>
              </w:rPr>
              <w:t>Delivered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  <w:sz w:val="20"/>
              </w:rPr>
              <w:t>Per-request session-identity + group binding at query time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20"/>
              </w:rPr>
              <w:t>web.py, connection.py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F52"/>
                <w:sz w:val="20"/>
              </w:rPr>
              <w:t>Delivered</w:t>
            </w:r>
          </w:p>
        </w:tc>
      </w:tr>
    </w:tbl>
    <w:p>
      <w:pPr>
        <w:ind w:left="216"/>
      </w:pPr>
      <w:r>
        <w:rPr>
          <w:b/>
          <w:color w:val="7C3AED"/>
        </w:rPr>
        <w:t xml:space="preserve">▍ </w:t>
      </w:r>
      <w:r>
        <w:rPr>
          <w:sz w:val="20"/>
        </w:rPr>
        <w:t>The sensitivity toggle, the protected-group gating (Entra group claim), and the per-request identity/group binding are built and tested behind the ENFORCE_OWNERSHIP flag; what remains for Phase 4 is applying the Snowflake DDL and turning the flag on in the hosted environment.</w:t>
      </w:r>
    </w:p>
    <w:p>
      <w:pPr>
        <w:spacing w:before="280"/>
      </w:pPr>
      <w:r>
        <w:rPr>
          <w:b/>
          <w:color w:val="7C3AED"/>
          <w:sz w:val="30"/>
        </w:rPr>
        <w:t>5   Phased work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val="clear" w:fill="EDE4FB"/>
          </w:tcPr>
          <w:p>
            <w:r/>
            <w:r>
              <w:rPr>
                <w:b/>
                <w:sz w:val="20"/>
              </w:rPr>
              <w:t>Phase</w:t>
            </w:r>
          </w:p>
        </w:tc>
        <w:tc>
          <w:tcPr>
            <w:tcW w:type="dxa" w:w="5328"/>
            <w:shd w:val="clear" w:fill="EDE4FB"/>
          </w:tcPr>
          <w:p>
            <w:r/>
            <w:r>
              <w:rPr>
                <w:b/>
                <w:sz w:val="20"/>
              </w:rPr>
              <w:t>Work</w:t>
            </w:r>
          </w:p>
        </w:tc>
        <w:tc>
          <w:tcPr>
            <w:tcW w:type="dxa" w:w="1440"/>
            <w:shd w:val="clear" w:fill="EDE4FB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1584"/>
            <w:shd w:val="clear" w:fill="EDE4FB"/>
          </w:tcPr>
          <w:p>
            <w:r/>
            <w:r>
              <w:rPr>
                <w:b/>
                <w:sz w:val="20"/>
              </w:rPr>
              <w:t>Milestone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20"/>
              </w:rPr>
              <w:t>Query agent core — connection, run_sql tool, agent loop, grounded answers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8A6100"/>
                <w:sz w:val="20"/>
              </w:rPr>
              <w:t>[TBD]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1A7F52"/>
                <w:sz w:val="20"/>
              </w:rPr>
              <w:t>Delivered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20"/>
              </w:rPr>
              <w:t>Ingest pipeline — structuring, preview, commit, history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8A6100"/>
                <w:sz w:val="20"/>
              </w:rPr>
              <w:t>[TBD]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1A7F52"/>
                <w:sz w:val="20"/>
              </w:rPr>
              <w:t>Delivered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20"/>
              </w:rPr>
              <w:t>Cortex Analyst integration (optional semantic path)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8A6100"/>
                <w:sz w:val="20"/>
              </w:rPr>
              <w:t>[TBD]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1A7F52"/>
                <w:sz w:val="20"/>
              </w:rPr>
              <w:t>Delivered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20"/>
              </w:rPr>
              <w:t>Hardening &amp; hosted rollout (see sequence below)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8A6100"/>
                <w:sz w:val="20"/>
              </w:rPr>
              <w:t>[TBD]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7C3AED"/>
                <w:sz w:val="20"/>
              </w:rPr>
              <w:t>Planned</w:t>
            </w:r>
          </w:p>
        </w:tc>
      </w:tr>
    </w:tbl>
    <w:p>
      <w:r>
        <w:rPr>
          <w:b/>
          <w:color w:val="1E1630"/>
          <w:sz w:val="21"/>
        </w:rPr>
        <w:t>PHASE 4 SEQUENCE (LOCKED BUILD ORDER)</w:t>
      </w:r>
    </w:p>
    <w:p>
      <w:pPr>
        <w:pStyle w:val="ListBullet"/>
      </w:pPr>
      <w:r>
        <w:rPr>
          <w:b/>
          <w:sz w:val="21"/>
        </w:rPr>
        <w:t>4.1 Least-privilege Snowflake roles</w:t>
      </w:r>
      <w:r>
        <w:rPr>
          <w:color w:val="6B6480"/>
          <w:sz w:val="21"/>
        </w:rPr>
        <w:t xml:space="preserve"> — create BAYI_READ / BAYI_ADMIN_READ (break-glass) / BAYI_INGEST_WRITE, add the SENSITIVITY and INGESTED_BY columns, attach the rap_ownership row-access policy; retire ACCOUNTADMIN for the app.</w:t>
      </w:r>
    </w:p>
    <w:p>
      <w:pPr>
        <w:pStyle w:val="ListBullet"/>
      </w:pPr>
      <w:r>
        <w:rPr>
          <w:b/>
          <w:sz w:val="21"/>
        </w:rPr>
        <w:t>4.2 Easy Auth identity + group wiring</w:t>
      </w:r>
      <w:r>
        <w:rPr>
          <w:color w:val="6B6480"/>
          <w:sz w:val="21"/>
        </w:rPr>
        <w:t xml:space="preserve"> — the app reads the server-injected caller email and group claim, using them as the owner stamp on ingest and the row filters on query.</w:t>
      </w:r>
    </w:p>
    <w:p>
      <w:pPr>
        <w:pStyle w:val="ListBullet"/>
      </w:pPr>
      <w:r>
        <w:rPr>
          <w:b/>
          <w:sz w:val="21"/>
        </w:rPr>
        <w:t>4.3 Three-tier sensitivity toggle</w:t>
      </w:r>
      <w:r>
        <w:rPr>
          <w:color w:val="6B6480"/>
          <w:sz w:val="21"/>
        </w:rPr>
        <w:t xml:space="preserve"> — internal (default) for everyone; private (only me) for everyone; protected (only my group) gated to members of the privileged Entra group. Confidential tiers force the ingest-only path (nothing kept locally).</w:t>
      </w:r>
    </w:p>
    <w:p>
      <w:pPr>
        <w:pStyle w:val="ListBullet"/>
      </w:pPr>
      <w:r>
        <w:rPr>
          <w:b/>
          <w:sz w:val="21"/>
        </w:rPr>
        <w:t>4.4 Per-request session-identity + group binding</w:t>
      </w:r>
      <w:r>
        <w:rPr>
          <w:color w:val="6B6480"/>
          <w:sz w:val="21"/>
        </w:rPr>
        <w:t xml:space="preserve"> — before each query the app binds the caller identity and protected-group flag to the Snowflake session; the database returns internal rows plus the caller's own private rows plus, for group members, protected rows.</w:t>
      </w:r>
    </w:p>
    <w:p>
      <w:pPr>
        <w:spacing w:before="280"/>
      </w:pPr>
      <w:r>
        <w:rPr>
          <w:b/>
          <w:color w:val="7C3AED"/>
          <w:sz w:val="30"/>
        </w:rPr>
        <w:t>6   Technical architecture</w:t>
      </w:r>
    </w:p>
    <w:p>
      <w:r>
        <w:rPr>
          <w:b/>
          <w:color w:val="1E1630"/>
          <w:sz w:val="21"/>
        </w:rPr>
        <w:t>APPLICATION STACK</w:t>
      </w:r>
    </w:p>
    <w:p>
      <w:pPr>
        <w:pStyle w:val="ListBullet"/>
      </w:pPr>
      <w:r>
        <w:rPr>
          <w:b/>
          <w:sz w:val="21"/>
        </w:rPr>
        <w:t>Query engine</w:t>
      </w:r>
      <w:r>
        <w:rPr>
          <w:color w:val="6B6480"/>
          <w:sz w:val="21"/>
        </w:rPr>
        <w:t xml:space="preserve"> — a run_sql tool (model-written SELECT, guarded) plus an optional cortex_analyst tool, behind one Tool abstraction so tools can be swapped without touching the loop.</w:t>
      </w:r>
    </w:p>
    <w:p>
      <w:pPr>
        <w:pStyle w:val="ListBullet"/>
      </w:pPr>
      <w:r>
        <w:rPr>
          <w:b/>
          <w:sz w:val="21"/>
        </w:rPr>
        <w:t>Agentic loop</w:t>
      </w:r>
      <w:r>
        <w:rPr>
          <w:color w:val="6B6480"/>
          <w:sz w:val="21"/>
        </w:rPr>
        <w:t xml:space="preserve"> — Anthropic tool-use with prompt caching and a pre-classifier that routes each question (database / follow-up / web).</w:t>
      </w:r>
    </w:p>
    <w:p>
      <w:pPr>
        <w:pStyle w:val="ListBullet"/>
      </w:pPr>
      <w:r>
        <w:rPr>
          <w:b/>
          <w:sz w:val="21"/>
        </w:rPr>
        <w:t>Web UI</w:t>
      </w:r>
      <w:r>
        <w:rPr>
          <w:color w:val="6B6480"/>
          <w:sz w:val="21"/>
        </w:rPr>
        <w:t xml:space="preserve"> — FastAPI serving the query and ingest pages; agent runs serialized on a shared connector via a thread lock.</w:t>
      </w:r>
    </w:p>
    <w:p>
      <w:r>
        <w:rPr>
          <w:b/>
          <w:color w:val="1E1630"/>
          <w:sz w:val="21"/>
        </w:rPr>
        <w:t>THREE SECURITY ENFORCEMENT LAYERS (PHASE 4)</w:t>
      </w:r>
    </w:p>
    <w:p>
      <w:pPr>
        <w:pStyle w:val="ListBullet"/>
      </w:pPr>
      <w:r>
        <w:rPr>
          <w:b/>
          <w:sz w:val="21"/>
        </w:rPr>
        <w:t>Azure Easy Auth</w:t>
      </w:r>
      <w:r>
        <w:rPr>
          <w:color w:val="6B6480"/>
          <w:sz w:val="21"/>
        </w:rPr>
        <w:t xml:space="preserve"> — proves who you are and what groups you belong to — Microsoft Entra, BayOne single tenant only.</w:t>
      </w:r>
    </w:p>
    <w:p>
      <w:pPr>
        <w:pStyle w:val="ListBullet"/>
      </w:pPr>
      <w:r>
        <w:rPr>
          <w:b/>
          <w:sz w:val="21"/>
        </w:rPr>
        <w:t>Application</w:t>
      </w:r>
      <w:r>
        <w:rPr>
          <w:color w:val="6B6480"/>
          <w:sz w:val="21"/>
        </w:rPr>
        <w:t xml:space="preserve"> — binds that caller identity and group flag to every request — the owner stamp on ingest and the row filters on query, from server-trusted headers the browser cannot set.</w:t>
      </w:r>
    </w:p>
    <w:p>
      <w:pPr>
        <w:pStyle w:val="ListBullet"/>
      </w:pPr>
      <w:r>
        <w:rPr>
          <w:b/>
          <w:sz w:val="21"/>
        </w:rPr>
        <w:t>Snowflake row-access policy</w:t>
      </w:r>
      <w:r>
        <w:rPr>
          <w:color w:val="6B6480"/>
          <w:sz w:val="21"/>
        </w:rPr>
        <w:t xml:space="preserve"> — the last line — physically decides which rows you can see (internal for everyone, private only for its owner, protected only for the privileged group), even if the model writes SELECT *.</w:t>
      </w:r>
    </w:p>
    <w:p>
      <w:pPr>
        <w:ind w:left="216"/>
      </w:pPr>
      <w:r>
        <w:rPr>
          <w:b/>
          <w:color w:val="7C3AED"/>
        </w:rPr>
        <w:t xml:space="preserve">▍ </w:t>
      </w:r>
      <w:r>
        <w:rPr>
          <w:sz w:val="20"/>
        </w:rPr>
        <w:t>Full detail — sequence diagrams, permission matrix, roles, and the row-access policy — is in the companion document docs/security-model.docx.</w:t>
      </w:r>
    </w:p>
    <w:p>
      <w:pPr>
        <w:spacing w:before="280"/>
      </w:pPr>
      <w:r>
        <w:rPr>
          <w:b/>
          <w:color w:val="7C3AED"/>
          <w:sz w:val="30"/>
        </w:rPr>
        <w:t>7   Security &amp; data handling</w:t>
      </w:r>
    </w:p>
    <w:p>
      <w:pPr>
        <w:pStyle w:val="ListBullet"/>
      </w:pPr>
      <w:r>
        <w:rPr>
          <w:b/>
          <w:sz w:val="21"/>
        </w:rPr>
        <w:t>No training on BayOne data</w:t>
      </w:r>
      <w:r>
        <w:rPr>
          <w:color w:val="6B6480"/>
          <w:sz w:val="21"/>
        </w:rPr>
        <w:t xml:space="preserve"> — Anthropic's commercial terms exclude customer content from model training.</w:t>
      </w:r>
    </w:p>
    <w:p>
      <w:pPr>
        <w:pStyle w:val="ListBullet"/>
      </w:pPr>
      <w:r>
        <w:rPr>
          <w:b/>
          <w:sz w:val="21"/>
        </w:rPr>
        <w:t>Retention / ZDR</w:t>
      </w:r>
      <w:r>
        <w:rPr>
          <w:color w:val="6B6480"/>
          <w:sz w:val="21"/>
        </w:rPr>
        <w:t xml:space="preserve"> — 30-day default retention; a Zero-Data-Retention agreement is pursued for sensitive workloads.</w:t>
      </w:r>
    </w:p>
    <w:p>
      <w:pPr>
        <w:pStyle w:val="ListBullet"/>
      </w:pPr>
      <w:r>
        <w:rPr>
          <w:b/>
          <w:sz w:val="21"/>
        </w:rPr>
        <w:t>Confidential uploads are ingest-only</w:t>
      </w:r>
      <w:r>
        <w:rPr>
          <w:color w:val="6B6480"/>
          <w:sz w:val="21"/>
        </w:rPr>
        <w:t xml:space="preserve"> — documents marked private or protected are never written to local disk; they live solely in Snowflake.</w:t>
      </w:r>
    </w:p>
    <w:p>
      <w:pPr>
        <w:pStyle w:val="ListBullet"/>
      </w:pPr>
      <w:r>
        <w:rPr>
          <w:b/>
          <w:sz w:val="21"/>
        </w:rPr>
        <w:t>Owner- and group-scoped access</w:t>
      </w:r>
      <w:r>
        <w:rPr>
          <w:color w:val="6B6480"/>
          <w:sz w:val="21"/>
        </w:rPr>
        <w:t xml:space="preserve"> — private data is readable only by the user who ingested it; protected data only by members of the privileged Entra group; everyone else sees internal (shared) rows only. Only that group's members may mark an upload protected. A logged break-glass admin role can read all data for offboarding/legal.</w:t>
      </w:r>
    </w:p>
    <w:p>
      <w:pPr>
        <w:ind w:left="216"/>
      </w:pPr>
      <w:r>
        <w:rPr>
          <w:b/>
          <w:color w:val="8A6100"/>
        </w:rPr>
        <w:t xml:space="preserve">▍ </w:t>
      </w:r>
      <w:r>
        <w:rPr>
          <w:sz w:val="20"/>
        </w:rPr>
        <w:t>Today both read and write connect as ACCOUNTADMIN and the web app has no authentication (local-only). Phase 4 retires ACCOUNTADMIN and puts the app behind Entra — the single biggest risk reduction in this SOW.</w:t>
      </w:r>
    </w:p>
    <w:p>
      <w:pPr>
        <w:spacing w:before="280"/>
      </w:pPr>
      <w:r>
        <w:rPr>
          <w:b/>
          <w:color w:val="7C3AED"/>
          <w:sz w:val="30"/>
        </w:rPr>
        <w:t>8   Assumptions &amp; dependencies</w:t>
      </w:r>
    </w:p>
    <w:p>
      <w:pPr>
        <w:pStyle w:val="ListBullet"/>
      </w:pPr>
      <w:r>
        <w:rPr>
          <w:sz w:val="21"/>
        </w:rPr>
        <w:t>A Snowflake account, warehouse(s), and the target knowledge-base tables are available.</w:t>
      </w:r>
    </w:p>
    <w:p>
      <w:pPr>
        <w:pStyle w:val="ListBullet"/>
      </w:pPr>
      <w:r>
        <w:rPr>
          <w:sz w:val="21"/>
        </w:rPr>
        <w:t>An Anthropic API key is provisioned (and a ZDR agreement is in place for sensitive data).</w:t>
      </w:r>
    </w:p>
    <w:p>
      <w:pPr>
        <w:pStyle w:val="ListBullet"/>
      </w:pPr>
      <w:r>
        <w:rPr>
          <w:sz w:val="21"/>
        </w:rPr>
        <w:t>An Azure subscription with App Service and the BayOne Entra tenant are available.</w:t>
      </w:r>
    </w:p>
    <w:p>
      <w:pPr>
        <w:pStyle w:val="ListBullet"/>
      </w:pPr>
      <w:r>
        <w:rPr>
          <w:b/>
          <w:sz w:val="21"/>
        </w:rPr>
        <w:t>Open inputs required before Phase 4 build</w:t>
      </w:r>
      <w:r>
        <w:rPr>
          <w:color w:val="6B6480"/>
          <w:sz w:val="21"/>
        </w:rPr>
        <w:t xml:space="preserve"> — (a) who holds the BAYI_ADMIN_READ break-glass role and how its use is logged/reviewed; (b) the Snowflake mechanism that carries the caller identity and group flag into the session for the row-access policy to read; (c) the exact privileged Entra group whose members may use the protected tier.</w:t>
      </w:r>
    </w:p>
    <w:p>
      <w:pPr>
        <w:spacing w:before="280"/>
      </w:pPr>
      <w:r>
        <w:rPr>
          <w:b/>
          <w:color w:val="7C3AED"/>
          <w:sz w:val="30"/>
        </w:rPr>
        <w:t>9   Roles &amp;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192"/>
            <w:shd w:val="clear" w:fill="EDE4FB"/>
          </w:tcPr>
          <w:p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3312"/>
            <w:shd w:val="clear" w:fill="EDE4FB"/>
          </w:tcPr>
          <w:p>
            <w:r/>
            <w:r>
              <w:rPr>
                <w:b/>
                <w:sz w:val="20"/>
              </w:rPr>
              <w:t>Owner</w:t>
            </w:r>
          </w:p>
        </w:tc>
      </w:tr>
      <w:tr>
        <w:tc>
          <w:tcPr>
            <w:tcW w:type="dxa" w:w="6192"/>
          </w:tcPr>
          <w:p>
            <w:r/>
            <w:r>
              <w:rPr>
                <w:b w:val="0"/>
                <w:sz w:val="20"/>
              </w:rPr>
              <w:t>Delivery owner (build &amp; integration)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Atharv Sharma</w:t>
            </w:r>
          </w:p>
        </w:tc>
      </w:tr>
      <w:tr>
        <w:tc>
          <w:tcPr>
            <w:tcW w:type="dxa" w:w="6192"/>
          </w:tcPr>
          <w:p>
            <w:r/>
            <w:r>
              <w:rPr>
                <w:b w:val="0"/>
                <w:sz w:val="20"/>
              </w:rPr>
              <w:t>Break-glass admin holder (BAYI_ADMIN_READ)</w:t>
            </w:r>
          </w:p>
        </w:tc>
        <w:tc>
          <w:tcPr>
            <w:tcW w:type="dxa" w:w="3312"/>
          </w:tcPr>
          <w:p>
            <w:r/>
            <w:r>
              <w:rPr>
                <w:b/>
                <w:color w:val="8A6100"/>
                <w:sz w:val="20"/>
              </w:rPr>
              <w:t>[TBD]</w:t>
            </w:r>
          </w:p>
        </w:tc>
      </w:tr>
      <w:tr>
        <w:tc>
          <w:tcPr>
            <w:tcW w:type="dxa" w:w="6192"/>
          </w:tcPr>
          <w:p>
            <w:r/>
            <w:r>
              <w:rPr>
                <w:b w:val="0"/>
                <w:sz w:val="20"/>
              </w:rPr>
              <w:t>Snowflake administrator (roles, policy, grants)</w:t>
            </w:r>
          </w:p>
        </w:tc>
        <w:tc>
          <w:tcPr>
            <w:tcW w:type="dxa" w:w="3312"/>
          </w:tcPr>
          <w:p>
            <w:r/>
            <w:r>
              <w:rPr>
                <w:b/>
                <w:color w:val="8A6100"/>
                <w:sz w:val="20"/>
              </w:rPr>
              <w:t>[TBD]</w:t>
            </w:r>
          </w:p>
        </w:tc>
      </w:tr>
      <w:tr>
        <w:tc>
          <w:tcPr>
            <w:tcW w:type="dxa" w:w="6192"/>
          </w:tcPr>
          <w:p>
            <w:r/>
            <w:r>
              <w:rPr>
                <w:b w:val="0"/>
                <w:sz w:val="20"/>
              </w:rPr>
              <w:t>Azure administrator (App Service, Easy Auth)</w:t>
            </w:r>
          </w:p>
        </w:tc>
        <w:tc>
          <w:tcPr>
            <w:tcW w:type="dxa" w:w="3312"/>
          </w:tcPr>
          <w:p>
            <w:r/>
            <w:r>
              <w:rPr>
                <w:b/>
                <w:color w:val="8A6100"/>
                <w:sz w:val="20"/>
              </w:rPr>
              <w:t>[TBD]</w:t>
            </w:r>
          </w:p>
        </w:tc>
      </w:tr>
      <w:tr>
        <w:tc>
          <w:tcPr>
            <w:tcW w:type="dxa" w:w="6192"/>
          </w:tcPr>
          <w:p>
            <w:r/>
            <w:r>
              <w:rPr>
                <w:b w:val="0"/>
                <w:sz w:val="20"/>
              </w:rPr>
              <w:t>Business sponsor / approver</w:t>
            </w:r>
          </w:p>
        </w:tc>
        <w:tc>
          <w:tcPr>
            <w:tcW w:type="dxa" w:w="3312"/>
          </w:tcPr>
          <w:p>
            <w:r/>
            <w:r>
              <w:rPr>
                <w:b/>
                <w:color w:val="8A6100"/>
                <w:sz w:val="20"/>
              </w:rPr>
              <w:t>[TBD]</w:t>
            </w:r>
          </w:p>
        </w:tc>
      </w:tr>
    </w:tbl>
    <w:p>
      <w:pPr>
        <w:spacing w:before="280"/>
      </w:pPr>
      <w:r>
        <w:rPr>
          <w:b/>
          <w:color w:val="7C3AED"/>
          <w:sz w:val="30"/>
        </w:rPr>
        <w:t>10   Timeline &amp; milestones</w:t>
      </w:r>
    </w:p>
    <w:p>
      <w:r>
        <w:rPr>
          <w:color w:val="6B6480"/>
          <w:sz w:val="20"/>
        </w:rPr>
        <w:t>Dates to be set at sign-off. Phases 1–3 are already delivered; the schedule below covers the remaining Phase 4 rollout.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184"/>
            <w:shd w:val="clear" w:fill="EDE4FB"/>
          </w:tcPr>
          <w:p>
            <w:r/>
            <w:r>
              <w:rPr>
                <w:b/>
                <w:sz w:val="20"/>
              </w:rPr>
              <w:t>Milestone</w:t>
            </w:r>
          </w:p>
        </w:tc>
        <w:tc>
          <w:tcPr>
            <w:tcW w:type="dxa" w:w="2160"/>
            <w:shd w:val="clear" w:fill="EDE4FB"/>
          </w:tcPr>
          <w:p>
            <w:r/>
            <w:r>
              <w:rPr>
                <w:b/>
                <w:sz w:val="20"/>
              </w:rPr>
              <w:t>Start</w:t>
            </w:r>
          </w:p>
        </w:tc>
        <w:tc>
          <w:tcPr>
            <w:tcW w:type="dxa" w:w="2160"/>
            <w:shd w:val="clear" w:fill="EDE4FB"/>
          </w:tcPr>
          <w:p>
            <w:r/>
            <w:r>
              <w:rPr>
                <w:b/>
                <w:sz w:val="20"/>
              </w:rPr>
              <w:t>End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20"/>
              </w:rPr>
              <w:t>Phase 4.1 — Least-privilege roles + owner/group row policy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8A6100"/>
                <w:sz w:val="20"/>
              </w:rPr>
              <w:t>[TBD]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8A6100"/>
                <w:sz w:val="20"/>
              </w:rPr>
              <w:t>[TBD]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20"/>
              </w:rPr>
              <w:t>Phase 4.2 — Easy Auth identity + group wiring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8A6100"/>
                <w:sz w:val="20"/>
              </w:rPr>
              <w:t>[TBD]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8A6100"/>
                <w:sz w:val="20"/>
              </w:rPr>
              <w:t>[TBD]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20"/>
              </w:rPr>
              <w:t>Phase 4.3 — Three-tier sensitivity toggle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8A6100"/>
                <w:sz w:val="20"/>
              </w:rPr>
              <w:t>[TBD]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8A6100"/>
                <w:sz w:val="20"/>
              </w:rPr>
              <w:t>[TBD]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20"/>
              </w:rPr>
              <w:t>Phase 4.4 — Per-request session-identity + group binding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8A6100"/>
                <w:sz w:val="20"/>
              </w:rPr>
              <w:t>[TBD]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8A6100"/>
                <w:sz w:val="20"/>
              </w:rPr>
              <w:t>[TBD]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20"/>
              </w:rPr>
              <w:t>Go-live (secured URL for BayOne staff)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8A6100"/>
                <w:sz w:val="20"/>
              </w:rPr>
              <w:t>[TBD]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8A6100"/>
                <w:sz w:val="20"/>
              </w:rPr>
              <w:t>[TBD]</w:t>
            </w:r>
          </w:p>
        </w:tc>
      </w:tr>
    </w:tbl>
    <w:p>
      <w:pPr>
        <w:spacing w:before="280"/>
      </w:pPr>
      <w:r>
        <w:rPr>
          <w:b/>
          <w:color w:val="7C3AED"/>
          <w:sz w:val="30"/>
        </w:rPr>
        <w:t>11   Pricing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752"/>
            <w:shd w:val="clear" w:fill="EDE4FB"/>
          </w:tcPr>
          <w:p>
            <w:r/>
            <w:r>
              <w:rPr>
                <w:b/>
                <w:sz w:val="20"/>
              </w:rPr>
              <w:t>Line item</w:t>
            </w:r>
          </w:p>
        </w:tc>
        <w:tc>
          <w:tcPr>
            <w:tcW w:type="dxa" w:w="2304"/>
            <w:shd w:val="clear" w:fill="EDE4FB"/>
          </w:tcPr>
          <w:p>
            <w:r/>
            <w:r>
              <w:rPr>
                <w:b/>
                <w:sz w:val="20"/>
              </w:rPr>
              <w:t>Basis</w:t>
            </w:r>
          </w:p>
        </w:tc>
        <w:tc>
          <w:tcPr>
            <w:tcW w:type="dxa" w:w="2448"/>
            <w:shd w:val="clear" w:fill="EDE4FB"/>
          </w:tcPr>
          <w:p>
            <w:r/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4752"/>
          </w:tcPr>
          <w:p>
            <w:r/>
            <w:r>
              <w:rPr>
                <w:b w:val="0"/>
                <w:sz w:val="20"/>
              </w:rPr>
              <w:t>Engineering / delivery effort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20"/>
              </w:rPr>
              <w:t>Internal</w:t>
            </w:r>
          </w:p>
        </w:tc>
        <w:tc>
          <w:tcPr>
            <w:tcW w:type="dxa" w:w="2448"/>
          </w:tcPr>
          <w:p>
            <w:r/>
            <w:r>
              <w:rPr>
                <w:b/>
                <w:color w:val="8A6100"/>
                <w:sz w:val="20"/>
              </w:rPr>
              <w:t>[TBD]</w:t>
            </w:r>
          </w:p>
        </w:tc>
      </w:tr>
      <w:tr>
        <w:tc>
          <w:tcPr>
            <w:tcW w:type="dxa" w:w="4752"/>
          </w:tcPr>
          <w:p>
            <w:r/>
            <w:r>
              <w:rPr>
                <w:b w:val="0"/>
                <w:sz w:val="20"/>
              </w:rPr>
              <w:t>Azure hosting (App Service, storage)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20"/>
              </w:rPr>
              <w:t>Monthly</w:t>
            </w:r>
          </w:p>
        </w:tc>
        <w:tc>
          <w:tcPr>
            <w:tcW w:type="dxa" w:w="2448"/>
          </w:tcPr>
          <w:p>
            <w:r/>
            <w:r>
              <w:rPr>
                <w:b/>
                <w:color w:val="8A6100"/>
                <w:sz w:val="20"/>
              </w:rPr>
              <w:t>[TBD]</w:t>
            </w:r>
          </w:p>
        </w:tc>
      </w:tr>
      <w:tr>
        <w:tc>
          <w:tcPr>
            <w:tcW w:type="dxa" w:w="4752"/>
          </w:tcPr>
          <w:p>
            <w:r/>
            <w:r>
              <w:rPr>
                <w:b w:val="0"/>
                <w:sz w:val="20"/>
              </w:rPr>
              <w:t>Snowflake compute (warehouses)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20"/>
              </w:rPr>
              <w:t>Usage</w:t>
            </w:r>
          </w:p>
        </w:tc>
        <w:tc>
          <w:tcPr>
            <w:tcW w:type="dxa" w:w="2448"/>
          </w:tcPr>
          <w:p>
            <w:r/>
            <w:r>
              <w:rPr>
                <w:b/>
                <w:color w:val="8A6100"/>
                <w:sz w:val="20"/>
              </w:rPr>
              <w:t>[TBD]</w:t>
            </w:r>
          </w:p>
        </w:tc>
      </w:tr>
      <w:tr>
        <w:tc>
          <w:tcPr>
            <w:tcW w:type="dxa" w:w="4752"/>
          </w:tcPr>
          <w:p>
            <w:r/>
            <w:r>
              <w:rPr>
                <w:b w:val="0"/>
                <w:sz w:val="20"/>
              </w:rPr>
              <w:t>Anthropic API usage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20"/>
              </w:rPr>
              <w:t>Usage</w:t>
            </w:r>
          </w:p>
        </w:tc>
        <w:tc>
          <w:tcPr>
            <w:tcW w:type="dxa" w:w="2448"/>
          </w:tcPr>
          <w:p>
            <w:r/>
            <w:r>
              <w:rPr>
                <w:b/>
                <w:color w:val="8A6100"/>
                <w:sz w:val="20"/>
              </w:rPr>
              <w:t>[TBD]</w:t>
            </w:r>
          </w:p>
        </w:tc>
      </w:tr>
      <w:tr>
        <w:tc>
          <w:tcPr>
            <w:tcW w:type="dxa" w:w="4752"/>
          </w:tcPr>
          <w:p>
            <w:r/>
            <w:r>
              <w:rPr>
                <w:b w:val="0"/>
                <w:sz w:val="20"/>
              </w:rPr>
              <w:t>Total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b/>
                <w:color w:val="8A6100"/>
                <w:sz w:val="20"/>
              </w:rPr>
              <w:t>[TBD]</w:t>
            </w:r>
          </w:p>
        </w:tc>
      </w:tr>
    </w:tbl>
    <w:p>
      <w:pPr>
        <w:ind w:left="216"/>
      </w:pPr>
      <w:r>
        <w:rPr>
          <w:b/>
          <w:color w:val="8A6100"/>
        </w:rPr>
        <w:t xml:space="preserve">▍ </w:t>
      </w:r>
      <w:r>
        <w:rPr>
          <w:sz w:val="20"/>
        </w:rPr>
        <w:t>All figures are placeholders to be completed at sign-off.</w:t>
      </w:r>
    </w:p>
    <w:p>
      <w:pPr>
        <w:spacing w:before="280"/>
      </w:pPr>
      <w:r>
        <w:rPr>
          <w:b/>
          <w:color w:val="7C3AED"/>
          <w:sz w:val="30"/>
        </w:rPr>
        <w:t>12   Acceptance criteria</w:t>
      </w:r>
    </w:p>
    <w:p>
      <w:pPr>
        <w:pStyle w:val="ListBullet"/>
      </w:pPr>
      <w:r>
        <w:rPr>
          <w:b/>
          <w:sz w:val="21"/>
        </w:rPr>
        <w:t>Grounded-answer eval passes</w:t>
      </w:r>
      <w:r>
        <w:rPr>
          <w:color w:val="6B6480"/>
          <w:sz w:val="21"/>
        </w:rPr>
        <w:t xml:space="preserve"> — the agent's answers match ground-truth SQL on the eval set.</w:t>
      </w:r>
    </w:p>
    <w:p>
      <w:pPr>
        <w:pStyle w:val="ListBullet"/>
      </w:pPr>
      <w:r>
        <w:rPr>
          <w:b/>
          <w:sz w:val="21"/>
        </w:rPr>
        <w:t>Ingest round-trips</w:t>
      </w:r>
      <w:r>
        <w:rPr>
          <w:color w:val="6B6480"/>
          <w:sz w:val="21"/>
        </w:rPr>
        <w:t xml:space="preserve"> — a document structures, previews, and commits to the knowledge tables.</w:t>
      </w:r>
    </w:p>
    <w:p>
      <w:pPr>
        <w:pStyle w:val="ListBullet"/>
      </w:pPr>
      <w:r>
        <w:rPr>
          <w:b/>
          <w:sz w:val="21"/>
        </w:rPr>
        <w:t>Authentication blocks outsiders</w:t>
      </w:r>
      <w:r>
        <w:rPr>
          <w:color w:val="6B6480"/>
          <w:sz w:val="21"/>
        </w:rPr>
        <w:t xml:space="preserve"> — only authenticated BayOne Entra accounts reach the app.</w:t>
      </w:r>
    </w:p>
    <w:p>
      <w:pPr>
        <w:pStyle w:val="ListBullet"/>
      </w:pPr>
      <w:r>
        <w:rPr>
          <w:b/>
          <w:sz w:val="21"/>
        </w:rPr>
        <w:t>Owner- and group-scoped privacy is enforced</w:t>
      </w:r>
      <w:r>
        <w:rPr>
          <w:color w:val="6B6480"/>
          <w:sz w:val="21"/>
        </w:rPr>
        <w:t xml:space="preserve"> — a user's connection cannot return another user's private rows, nor a non-member's connection any protected rows, even under SELECT * (row-access policy verified).</w:t>
      </w:r>
    </w:p>
    <w:p>
      <w:pPr>
        <w:pStyle w:val="ListBullet"/>
      </w:pPr>
      <w:r>
        <w:rPr>
          <w:b/>
          <w:sz w:val="21"/>
        </w:rPr>
        <w:t>Least privilege confirmed</w:t>
      </w:r>
      <w:r>
        <w:rPr>
          <w:color w:val="6B6480"/>
          <w:sz w:val="21"/>
        </w:rPr>
        <w:t xml:space="preserve"> — no app path connects as ACCOUNTADMIN.</w:t>
      </w:r>
    </w:p>
    <w:p>
      <w:pPr>
        <w:spacing w:before="280"/>
      </w:pPr>
      <w:r>
        <w:rPr>
          <w:b/>
          <w:color w:val="7C3AED"/>
          <w:sz w:val="30"/>
        </w:rPr>
        <w:t>13  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val="clear" w:fill="EDE4FB"/>
          </w:tcPr>
          <w:p>
            <w:r/>
            <w:r>
              <w:rPr>
                <w:b/>
                <w:sz w:val="20"/>
              </w:rPr>
              <w:t>Party</w:t>
            </w:r>
          </w:p>
        </w:tc>
        <w:tc>
          <w:tcPr>
            <w:tcW w:type="dxa" w:w="2880"/>
            <w:shd w:val="clear" w:fill="EDE4FB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2736"/>
            <w:shd w:val="clear" w:fill="EDE4FB"/>
          </w:tcPr>
          <w:p>
            <w:r/>
            <w:r>
              <w:rPr>
                <w:b/>
                <w:sz w:val="20"/>
              </w:rPr>
              <w:t>Signature</w:t>
            </w:r>
          </w:p>
        </w:tc>
        <w:tc>
          <w:tcPr>
            <w:tcW w:type="dxa" w:w="1584"/>
            <w:shd w:val="clear" w:fill="EDE4FB"/>
          </w:tcPr>
          <w:p>
            <w:r/>
            <w:r>
              <w:rPr>
                <w:b/>
                <w:sz w:val="20"/>
              </w:rPr>
              <w:t>Date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20"/>
              </w:rPr>
              <w:t>Delivery owner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Atharv Sharma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8A6100"/>
                <w:sz w:val="20"/>
              </w:rPr>
              <w:t>[TBD]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20"/>
              </w:rPr>
              <w:t>Business sponsor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8A6100"/>
                <w:sz w:val="20"/>
              </w:rPr>
              <w:t>[TBD]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8A6100"/>
                <w:sz w:val="20"/>
              </w:rPr>
              <w:t>[TBD]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16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