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1E73"/>
          <w:sz w:val="52"/>
        </w:rPr>
        <w:t>BayI</w:t>
      </w:r>
      <w:r>
        <w:rPr>
          <w:b/>
          <w:color w:val="1E1630"/>
          <w:sz w:val="44"/>
        </w:rPr>
        <w:t xml:space="preserve">  Security &amp; Access Model</w:t>
      </w:r>
    </w:p>
    <w:p>
      <w:r>
        <w:rPr>
          <w:color w:val="6B6480"/>
          <w:sz w:val="21"/>
        </w:rPr>
        <w:t>How authentication, permissions, and data sensitivity fit together once the agent runs at a shared URL. Three data classes: shared INTERNAL knowledge, PRIVATE data that only the person who ingested it can see, and PROTECTED data readable only by one privileged group.</w:t>
      </w:r>
    </w:p>
    <w:p>
      <w:r>
        <w:rPr>
          <w:b/>
          <w:color w:val="1A7F52"/>
          <w:sz w:val="18"/>
        </w:rPr>
        <w:t>FINALIZED MODEL · DEPLOYMENT PAUSED</w:t>
      </w:r>
    </w:p>
    <w:p/>
    <w:p>
      <w:r>
        <w:rPr>
          <w:color w:val="6B6480"/>
          <w:sz w:val="20"/>
        </w:rPr>
        <w:t>Three enforcement layers stack from the outside in: Azure Easy Auth / SharePoint (M365) proves WHO YOU ARE (Entra, BayOne tenant only) and carries your GROUP MEMBERSHIP, the APPLICATION binds that identity + group flag to every request, and Snowflake ROW-ACCESS POLICIES are the last line that physically decides WHICH ROWS YOU CAN SEE — internal rows for everyone, private rows only for their OWNER, protected rows only for the privileged group — even if the model writes SELECT *.</w:t>
      </w:r>
    </w:p>
    <w:p>
      <w:r>
        <w:rPr>
          <w:b/>
          <w:color w:val="7C3AED"/>
          <w:sz w:val="30"/>
        </w:rPr>
        <w:t>1   Three data classes — internal, per-owner private, group-protected</w:t>
      </w:r>
    </w:p>
    <w:p>
      <w:r>
        <w:rPr>
          <w:color w:val="6B6480"/>
          <w:sz w:val="20"/>
        </w:rPr>
        <w:t>Sensitivity is a property of the DATA. ANY authenticated BayOne user can flip an upload to private (owned by them, visible only to them). One privileged group can additionally mark an upload protected — visible to every member of that group, but no one else. Everything else is internal — shared knowledge every signed-in user can query.</w:t>
      </w:r>
    </w:p>
    <w:tbl>
      <w:tblPr>
        <w:tblStyle w:val="TableGrid"/>
        <w:tblW w:type="auto" w:w="0"/>
        <w:jc w:val="center"/>
        <w:tblLook w:firstColumn="1" w:firstRow="1" w:lastColumn="0" w:lastRow="0" w:noHBand="0" w:noVBand="1" w:val="04A0"/>
      </w:tblPr>
      <w:tblGrid>
        <w:gridCol w:w="2880"/>
        <w:gridCol w:w="2880"/>
        <w:gridCol w:w="2880"/>
      </w:tblGrid>
      <w:tr>
        <w:tc>
          <w:tcPr>
            <w:tcW w:type="dxa" w:w="3125"/>
            <w:shd w:val="clear" w:fill="EDE4FB"/>
          </w:tcPr>
          <w:p>
            <w:r/>
            <w:r>
              <w:rPr>
                <w:b/>
                <w:sz w:val="20"/>
              </w:rPr>
              <w:t>Internal — shared knowledge</w:t>
            </w:r>
          </w:p>
        </w:tc>
        <w:tc>
          <w:tcPr>
            <w:tcW w:type="dxa" w:w="3125"/>
            <w:shd w:val="clear" w:fill="EDE4FB"/>
          </w:tcPr>
          <w:p>
            <w:r/>
            <w:r>
              <w:rPr>
                <w:b/>
                <w:sz w:val="20"/>
              </w:rPr>
              <w:t>Private — owned by the ingester</w:t>
            </w:r>
          </w:p>
        </w:tc>
        <w:tc>
          <w:tcPr>
            <w:tcW w:type="dxa" w:w="3125"/>
            <w:shd w:val="clear" w:fill="EDE4FB"/>
          </w:tcPr>
          <w:p>
            <w:r/>
            <w:r>
              <w:rPr>
                <w:b/>
                <w:sz w:val="20"/>
              </w:rPr>
              <w:t>Protected — one privileged group</w:t>
            </w:r>
          </w:p>
        </w:tc>
      </w:tr>
      <w:tr>
        <w:tc>
          <w:tcPr>
            <w:tcW w:type="dxa" w:w="3125"/>
          </w:tcPr>
          <w:p>
            <w:r/>
            <w:r>
              <w:rPr>
                <w:b w:val="0"/>
                <w:sz w:val="20"/>
              </w:rPr>
              <w:t>The default. Visible to every authenticated BayOne user.</w:t>
              <w:br/>
              <w:t>• Ingested in normal mode</w:t>
              <w:br/>
              <w:t>• Queryable by all staff</w:t>
              <w:br/>
              <w:t>• Stored with SENSITIVITY = internal</w:t>
              <w:br/>
              <w:t>• No owner restriction</w:t>
            </w:r>
          </w:p>
        </w:tc>
        <w:tc>
          <w:tcPr>
            <w:tcW w:type="dxa" w:w="3125"/>
          </w:tcPr>
          <w:p>
            <w:r/>
            <w:r>
              <w:rPr>
                <w:b w:val="0"/>
                <w:sz w:val="20"/>
              </w:rPr>
              <w:t>Anyone can create it. Readable only by its owner.</w:t>
              <w:br/>
              <w:t>• Ingested with the “Private — only me” option</w:t>
              <w:br/>
              <w:t>• Always ingest-only — never written to local disk</w:t>
              <w:br/>
              <w:t>• Stored with SENSITIVITY = private and INGESTED_BY = your email</w:t>
              <w:br/>
              <w:t>• Queries return your private rows — never anyone else's</w:t>
            </w:r>
          </w:p>
        </w:tc>
        <w:tc>
          <w:tcPr>
            <w:tcW w:type="dxa" w:w="3125"/>
          </w:tcPr>
          <w:p>
            <w:r/>
            <w:r>
              <w:rPr>
                <w:b w:val="0"/>
                <w:sz w:val="20"/>
              </w:rPr>
              <w:t>Only SG-BayI-Sensitive members can create or read it.</w:t>
              <w:br/>
              <w:t>• The “Protected — my group only” option appears only for members</w:t>
              <w:br/>
              <w:t>• Always ingest-only — never written to local disk</w:t>
              <w:br/>
              <w:t>• Stored with SENSITIVITY = protected</w:t>
              <w:br/>
              <w:t>• Queries return protected rows only when the caller is in the group</w:t>
            </w:r>
          </w:p>
        </w:tc>
      </w:tr>
    </w:tbl>
    <w:p>
      <w:pPr>
        <w:ind w:left="216"/>
      </w:pPr>
      <w:r>
        <w:rPr>
          <w:b/>
          <w:color w:val="1A7F52"/>
        </w:rPr>
        <w:t xml:space="preserve">▍ </w:t>
      </w:r>
      <w:r>
        <w:rPr>
          <w:sz w:val="20"/>
        </w:rPr>
        <w:t>Two tiers open to all, one gated. The private option is on every user's ingest screen — no membership list, isolation is by OWNER identity. The protected option appears only for members of the single privileged Entra/M365 group (SG-BayI-Sensitive); membership is decided per request from the group claim, never from row data.</w:t>
      </w:r>
    </w:p>
    <w:p>
      <w:pPr>
        <w:ind w:left="216"/>
      </w:pPr>
      <w:r>
        <w:rPr>
          <w:b/>
          <w:color w:val="8A6100"/>
        </w:rPr>
        <w:t xml:space="preserve">▍ </w:t>
      </w:r>
      <w:r>
        <w:rPr>
          <w:sz w:val="20"/>
        </w:rPr>
        <w:t>One break-glass exception. A single named admin/compliance role (BAYI_ADMIN_READ) can read ALL private and protected data for offboarding or legal need, and every such read is logged. This is the one path by which confidential data outlives its owner (or the group) leaving the company.</w:t>
      </w:r>
    </w:p>
    <w:p>
      <w:r>
        <w:rPr>
          <w:b/>
          <w:color w:val="7C3AED"/>
          <w:sz w:val="30"/>
        </w:rPr>
        <w:t>2   Authentication — getting to the URL</w:t>
      </w:r>
    </w:p>
    <w:p>
      <w:r>
        <w:rPr>
          <w:color w:val="6B6480"/>
          <w:sz w:val="20"/>
        </w:rPr>
        <w:t>One HTTPS URL. Azure App Service's built-in authentication (“Easy Auth”) sits in front of the app: no valid Entra session, no bytes reach the agent. The app writes zero OAuth code — it reads the identity Azure injects.</w:t>
      </w:r>
    </w:p>
    <w:p>
      <w:r>
        <w:rPr>
          <w:b/>
          <w:color w:val="1E1630"/>
          <w:sz w:val="21"/>
        </w:rPr>
        <w:t>SIGN-IN SEQUENCE</w:t>
      </w:r>
    </w:p>
    <w:p>
      <w:pPr>
        <w:ind w:left="288"/>
      </w:pPr>
      <w:r>
        <w:rPr>
          <w:b/>
          <w:color w:val="7C3AED"/>
        </w:rPr>
        <w:t xml:space="preserve">1. </w:t>
      </w:r>
      <w:r>
        <w:rPr>
          <w:b/>
        </w:rPr>
        <w:t>User browser → Azure Easy Auth</w:t>
      </w:r>
      <w:r>
        <w:rPr>
          <w:color w:val="6B6480"/>
        </w:rPr>
        <w:t xml:space="preserve"> — GET https://bayi.bayone.com over TLS.</w:t>
      </w:r>
    </w:p>
    <w:p>
      <w:pPr>
        <w:ind w:left="288"/>
      </w:pPr>
      <w:r>
        <w:rPr>
          <w:b/>
          <w:color w:val="7C3AED"/>
        </w:rPr>
        <w:t xml:space="preserve">2. </w:t>
      </w:r>
      <w:r>
        <w:rPr>
          <w:b/>
        </w:rPr>
        <w:t>No valid session?</w:t>
      </w:r>
      <w:r>
        <w:rPr>
          <w:color w:val="6B6480"/>
        </w:rPr>
        <w:t xml:space="preserve"> — Easy Auth returns 302 redirect to the Microsoft login.</w:t>
      </w:r>
    </w:p>
    <w:p>
      <w:pPr>
        <w:ind w:left="288"/>
      </w:pPr>
      <w:r>
        <w:rPr>
          <w:b/>
          <w:color w:val="7C3AED"/>
        </w:rPr>
        <w:t xml:space="preserve">3. </w:t>
      </w:r>
      <w:r>
        <w:rPr>
          <w:b/>
        </w:rPr>
        <w:t>User signs in at Microsoft Entra ID</w:t>
      </w:r>
      <w:r>
        <w:rPr>
          <w:color w:val="6B6480"/>
        </w:rPr>
        <w:t xml:space="preserve"> — BayOne tenant only (single-tenant).</w:t>
      </w:r>
    </w:p>
    <w:p>
      <w:pPr>
        <w:ind w:left="288"/>
      </w:pPr>
      <w:r>
        <w:rPr>
          <w:b/>
          <w:color w:val="7C3AED"/>
        </w:rPr>
        <w:t xml:space="preserve">4. </w:t>
      </w:r>
      <w:r>
        <w:rPr>
          <w:b/>
        </w:rPr>
        <w:t>Entra → Easy Auth</w:t>
      </w:r>
      <w:r>
        <w:rPr>
          <w:color w:val="6B6480"/>
        </w:rPr>
        <w:t xml:space="preserve"> — Returns ID token; Easy Auth sets a session cookie.</w:t>
      </w:r>
    </w:p>
    <w:p>
      <w:pPr>
        <w:ind w:left="288"/>
      </w:pPr>
      <w:r>
        <w:rPr>
          <w:b/>
          <w:color w:val="7C3AED"/>
        </w:rPr>
        <w:t xml:space="preserve">5. </w:t>
      </w:r>
      <w:r>
        <w:rPr>
          <w:b/>
        </w:rPr>
        <w:t>Authenticated request → app</w:t>
      </w:r>
      <w:r>
        <w:rPr>
          <w:color w:val="6B6480"/>
        </w:rPr>
        <w:t xml:space="preserve"> — Easy Auth forwards it and injects the identity header X-MS-CLIENT-PRINCIPAL-NAME (email) plus the Entra/M365 group claim — the server-trusted caller identity and group membership.</w:t>
      </w:r>
    </w:p>
    <w:p>
      <w:pPr>
        <w:ind w:left="288"/>
      </w:pPr>
      <w:r>
        <w:rPr>
          <w:b/>
          <w:color w:val="7C3AED"/>
        </w:rPr>
        <w:t xml:space="preserve">6. </w:t>
      </w:r>
      <w:r>
        <w:rPr>
          <w:b/>
        </w:rPr>
        <w:t>App binds the caller identity + protected-group flag to the request</w:t>
      </w:r>
      <w:r>
        <w:rPr>
          <w:color w:val="6B6480"/>
        </w:rPr>
        <w:t xml:space="preserve"> — Owner stamp on ingest; row filter on query. The app loads for the caller.</w:t>
      </w:r>
    </w:p>
    <w:p>
      <w:pPr>
        <w:ind w:left="216"/>
      </w:pPr>
      <w:r>
        <w:rPr>
          <w:b/>
          <w:color w:val="7C3AED"/>
        </w:rPr>
        <w:t xml:space="preserve">▍ </w:t>
      </w:r>
      <w:r>
        <w:rPr>
          <w:sz w:val="20"/>
        </w:rPr>
        <w:t>Trust boundary 1: the public internet stops at Azure Easy Auth (on the SharePoint/M365 deployment, the same Entra sign-in). Single-tenant = only BayOne Entra accounts authenticate at all. The email AND the group claim in these headers are the caller identity and membership the rest of the model relies on; the client cannot set or forge them.</w:t>
      </w:r>
    </w:p>
    <w:p>
      <w:r>
        <w:rPr>
          <w:b/>
          <w:color w:val="7C3AED"/>
          <w:sz w:val="30"/>
        </w:rPr>
        <w:t>3   Permissions — who can do what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shd w:val="clear" w:fill="EDE4FB"/>
          </w:tcPr>
          <w:p>
            <w:r/>
            <w:r>
              <w:rPr>
                <w:b/>
                <w:sz w:val="20"/>
              </w:rPr>
              <w:t>Capability</w:t>
            </w:r>
          </w:p>
        </w:tc>
        <w:tc>
          <w:tcPr>
            <w:tcW w:type="dxa" w:w="2160"/>
            <w:shd w:val="clear" w:fill="EDE4FB"/>
          </w:tcPr>
          <w:p>
            <w:r/>
            <w:r>
              <w:rPr>
                <w:b/>
                <w:sz w:val="20"/>
              </w:rPr>
              <w:t>Any authenticated user</w:t>
              <w:br/>
              <w:t>(all BayOne staff)</w:t>
            </w:r>
          </w:p>
        </w:tc>
        <w:tc>
          <w:tcPr>
            <w:tcW w:type="dxa" w:w="2016"/>
            <w:shd w:val="clear" w:fill="EDE4FB"/>
          </w:tcPr>
          <w:p>
            <w:r/>
            <w:r>
              <w:rPr>
                <w:b/>
                <w:sz w:val="20"/>
              </w:rPr>
              <w:t>Protected-group member</w:t>
              <w:br/>
              <w:t>(SG-BayI-Sensitive)</w:t>
            </w:r>
          </w:p>
        </w:tc>
        <w:tc>
          <w:tcPr>
            <w:tcW w:type="dxa" w:w="2160"/>
            <w:shd w:val="clear" w:fill="EDE4FB"/>
          </w:tcPr>
          <w:p>
            <w:r/>
            <w:r>
              <w:rPr>
                <w:b/>
                <w:sz w:val="20"/>
              </w:rPr>
              <w:t>Break-glass admin</w:t>
              <w:br/>
              <w:t>(BAYI_ADMIN_READ · logged)</w:t>
            </w:r>
          </w:p>
        </w:tc>
      </w:tr>
      <w:tr>
        <w:tc>
          <w:tcPr>
            <w:tcW w:type="dxa" w:w="3744"/>
          </w:tcPr>
          <w:p>
            <w:r/>
            <w:r>
              <w:rPr>
                <w:b w:val="0"/>
                <w:sz w:val="20"/>
              </w:rPr>
              <w:t>Open the app / sign in</w:t>
            </w:r>
          </w:p>
        </w:tc>
        <w:tc>
          <w:tcPr>
            <w:tcW w:type="dxa" w:w="2160"/>
          </w:tcPr>
          <w:p>
            <w:r/>
            <w:r>
              <w:rPr>
                <w:b/>
                <w:color w:val="1A7F52"/>
                <w:sz w:val="20"/>
              </w:rPr>
              <w:t>Yes</w:t>
            </w:r>
          </w:p>
        </w:tc>
        <w:tc>
          <w:tcPr>
            <w:tcW w:type="dxa" w:w="2016"/>
          </w:tcPr>
          <w:p>
            <w:r/>
            <w:r>
              <w:rPr>
                <w:b/>
                <w:color w:val="1A7F52"/>
                <w:sz w:val="20"/>
              </w:rPr>
              <w:t>Yes</w:t>
            </w:r>
          </w:p>
        </w:tc>
        <w:tc>
          <w:tcPr>
            <w:tcW w:type="dxa" w:w="2160"/>
          </w:tcPr>
          <w:p>
            <w:r/>
            <w:r>
              <w:rPr>
                <w:b/>
                <w:color w:val="1A7F52"/>
                <w:sz w:val="20"/>
              </w:rPr>
              <w:t>Yes</w:t>
            </w:r>
          </w:p>
        </w:tc>
      </w:tr>
      <w:tr>
        <w:tc>
          <w:tcPr>
            <w:tcW w:type="dxa" w:w="3744"/>
          </w:tcPr>
          <w:p>
            <w:r/>
            <w:r>
              <w:rPr>
                <w:b w:val="0"/>
                <w:sz w:val="20"/>
              </w:rPr>
              <w:t>Query internal (shared) data</w:t>
            </w:r>
          </w:p>
        </w:tc>
        <w:tc>
          <w:tcPr>
            <w:tcW w:type="dxa" w:w="2160"/>
          </w:tcPr>
          <w:p>
            <w:r/>
            <w:r>
              <w:rPr>
                <w:b/>
                <w:color w:val="1A7F52"/>
                <w:sz w:val="20"/>
              </w:rPr>
              <w:t>Yes</w:t>
            </w:r>
          </w:p>
        </w:tc>
        <w:tc>
          <w:tcPr>
            <w:tcW w:type="dxa" w:w="2016"/>
          </w:tcPr>
          <w:p>
            <w:r/>
            <w:r>
              <w:rPr>
                <w:b/>
                <w:color w:val="1A7F52"/>
                <w:sz w:val="20"/>
              </w:rPr>
              <w:t>Yes</w:t>
            </w:r>
          </w:p>
        </w:tc>
        <w:tc>
          <w:tcPr>
            <w:tcW w:type="dxa" w:w="2160"/>
          </w:tcPr>
          <w:p>
            <w:r/>
            <w:r>
              <w:rPr>
                <w:b/>
                <w:color w:val="1A7F52"/>
                <w:sz w:val="20"/>
              </w:rPr>
              <w:t>Yes</w:t>
            </w:r>
          </w:p>
        </w:tc>
      </w:tr>
      <w:tr>
        <w:tc>
          <w:tcPr>
            <w:tcW w:type="dxa" w:w="3744"/>
          </w:tcPr>
          <w:p>
            <w:r/>
            <w:r>
              <w:rPr>
                <w:b w:val="0"/>
                <w:sz w:val="20"/>
              </w:rPr>
              <w:t>Ingest internal documents</w:t>
            </w:r>
          </w:p>
        </w:tc>
        <w:tc>
          <w:tcPr>
            <w:tcW w:type="dxa" w:w="2160"/>
          </w:tcPr>
          <w:p>
            <w:r/>
            <w:r>
              <w:rPr>
                <w:b/>
                <w:color w:val="1A7F52"/>
                <w:sz w:val="20"/>
              </w:rPr>
              <w:t>Yes</w:t>
            </w:r>
          </w:p>
        </w:tc>
        <w:tc>
          <w:tcPr>
            <w:tcW w:type="dxa" w:w="2016"/>
          </w:tcPr>
          <w:p>
            <w:r/>
            <w:r>
              <w:rPr>
                <w:b/>
                <w:color w:val="1A7F52"/>
                <w:sz w:val="20"/>
              </w:rPr>
              <w:t>Yes</w:t>
            </w:r>
          </w:p>
        </w:tc>
        <w:tc>
          <w:tcPr>
            <w:tcW w:type="dxa" w:w="2160"/>
          </w:tcPr>
          <w:p>
            <w:r/>
            <w:r>
              <w:rPr>
                <w:b/>
                <w:color w:val="1A7F52"/>
                <w:sz w:val="20"/>
              </w:rPr>
              <w:t>Yes</w:t>
            </w:r>
          </w:p>
        </w:tc>
      </w:tr>
      <w:tr>
        <w:tc>
          <w:tcPr>
            <w:tcW w:type="dxa" w:w="3744"/>
          </w:tcPr>
          <w:p>
            <w:r/>
            <w:r>
              <w:rPr>
                <w:b w:val="0"/>
                <w:sz w:val="20"/>
              </w:rPr>
              <w:t>Use the “Private — only me” option</w:t>
            </w:r>
          </w:p>
        </w:tc>
        <w:tc>
          <w:tcPr>
            <w:tcW w:type="dxa" w:w="2160"/>
          </w:tcPr>
          <w:p>
            <w:r/>
            <w:r>
              <w:rPr>
                <w:b/>
                <w:color w:val="1A7F52"/>
                <w:sz w:val="20"/>
              </w:rPr>
              <w:t>Yes</w:t>
            </w:r>
          </w:p>
        </w:tc>
        <w:tc>
          <w:tcPr>
            <w:tcW w:type="dxa" w:w="2016"/>
          </w:tcPr>
          <w:p>
            <w:r/>
            <w:r>
              <w:rPr>
                <w:b/>
                <w:color w:val="1A7F52"/>
                <w:sz w:val="20"/>
              </w:rPr>
              <w:t>Yes</w:t>
            </w:r>
          </w:p>
        </w:tc>
        <w:tc>
          <w:tcPr>
            <w:tcW w:type="dxa" w:w="2160"/>
          </w:tcPr>
          <w:p>
            <w:r/>
            <w:r>
              <w:rPr>
                <w:b/>
                <w:color w:val="1A7F52"/>
                <w:sz w:val="20"/>
              </w:rPr>
              <w:t>Yes</w:t>
            </w:r>
          </w:p>
        </w:tc>
      </w:tr>
      <w:tr>
        <w:tc>
          <w:tcPr>
            <w:tcW w:type="dxa" w:w="3744"/>
          </w:tcPr>
          <w:p>
            <w:r/>
            <w:r>
              <w:rPr>
                <w:b w:val="0"/>
                <w:sz w:val="20"/>
              </w:rPr>
              <w:t>Write private rows they own (ingest-only)</w:t>
            </w:r>
          </w:p>
        </w:tc>
        <w:tc>
          <w:tcPr>
            <w:tcW w:type="dxa" w:w="2160"/>
          </w:tcPr>
          <w:p>
            <w:r/>
            <w:r>
              <w:rPr>
                <w:b/>
                <w:color w:val="1A7F52"/>
                <w:sz w:val="20"/>
              </w:rPr>
              <w:t>Yes</w:t>
            </w:r>
          </w:p>
        </w:tc>
        <w:tc>
          <w:tcPr>
            <w:tcW w:type="dxa" w:w="2016"/>
          </w:tcPr>
          <w:p>
            <w:r/>
            <w:r>
              <w:rPr>
                <w:b/>
                <w:color w:val="1A7F52"/>
                <w:sz w:val="20"/>
              </w:rPr>
              <w:t>Yes</w:t>
            </w:r>
          </w:p>
        </w:tc>
        <w:tc>
          <w:tcPr>
            <w:tcW w:type="dxa" w:w="2160"/>
          </w:tcPr>
          <w:p>
            <w:r/>
            <w:r>
              <w:rPr>
                <w:b/>
                <w:color w:val="1A7F52"/>
                <w:sz w:val="20"/>
              </w:rPr>
              <w:t>Yes</w:t>
            </w:r>
          </w:p>
        </w:tc>
      </w:tr>
      <w:tr>
        <w:tc>
          <w:tcPr>
            <w:tcW w:type="dxa" w:w="3744"/>
          </w:tcPr>
          <w:p>
            <w:r/>
            <w:r>
              <w:rPr>
                <w:b w:val="0"/>
                <w:sz w:val="20"/>
              </w:rPr>
              <w:t>Query their OWN private rows</w:t>
            </w:r>
          </w:p>
        </w:tc>
        <w:tc>
          <w:tcPr>
            <w:tcW w:type="dxa" w:w="2160"/>
          </w:tcPr>
          <w:p>
            <w:r/>
            <w:r>
              <w:rPr>
                <w:b/>
                <w:color w:val="1A7F52"/>
                <w:sz w:val="20"/>
              </w:rPr>
              <w:t>Yes</w:t>
            </w:r>
          </w:p>
        </w:tc>
        <w:tc>
          <w:tcPr>
            <w:tcW w:type="dxa" w:w="2016"/>
          </w:tcPr>
          <w:p>
            <w:r/>
            <w:r>
              <w:rPr>
                <w:b/>
                <w:color w:val="1A7F52"/>
                <w:sz w:val="20"/>
              </w:rPr>
              <w:t>Yes</w:t>
            </w:r>
          </w:p>
        </w:tc>
        <w:tc>
          <w:tcPr>
            <w:tcW w:type="dxa" w:w="2160"/>
          </w:tcPr>
          <w:p>
            <w:r/>
            <w:r>
              <w:rPr>
                <w:b/>
                <w:color w:val="1A7F52"/>
                <w:sz w:val="20"/>
              </w:rPr>
              <w:t>Yes</w:t>
            </w:r>
          </w:p>
        </w:tc>
      </w:tr>
      <w:tr>
        <w:tc>
          <w:tcPr>
            <w:tcW w:type="dxa" w:w="3744"/>
          </w:tcPr>
          <w:p>
            <w:r/>
            <w:r>
              <w:rPr>
                <w:b w:val="0"/>
                <w:sz w:val="20"/>
              </w:rPr>
              <w:t>Query ANOTHER user's private rows</w:t>
            </w:r>
          </w:p>
        </w:tc>
        <w:tc>
          <w:tcPr>
            <w:tcW w:type="dxa" w:w="2160"/>
          </w:tcPr>
          <w:p>
            <w:r/>
            <w:r>
              <w:rPr>
                <w:b/>
                <w:color w:val="E5484D"/>
                <w:sz w:val="20"/>
              </w:rPr>
              <w:t>No</w:t>
            </w:r>
          </w:p>
        </w:tc>
        <w:tc>
          <w:tcPr>
            <w:tcW w:type="dxa" w:w="2016"/>
          </w:tcPr>
          <w:p>
            <w:r/>
            <w:r>
              <w:rPr>
                <w:b/>
                <w:color w:val="E5484D"/>
                <w:sz w:val="20"/>
              </w:rPr>
              <w:t>No</w:t>
            </w:r>
          </w:p>
        </w:tc>
        <w:tc>
          <w:tcPr>
            <w:tcW w:type="dxa" w:w="2160"/>
          </w:tcPr>
          <w:p>
            <w:r/>
            <w:r>
              <w:rPr>
                <w:b/>
                <w:color w:val="1A7F52"/>
                <w:sz w:val="20"/>
              </w:rPr>
              <w:t>Yes (logged)</w:t>
            </w:r>
          </w:p>
        </w:tc>
      </w:tr>
      <w:tr>
        <w:tc>
          <w:tcPr>
            <w:tcW w:type="dxa" w:w="3744"/>
          </w:tcPr>
          <w:p>
            <w:r/>
            <w:r>
              <w:rPr>
                <w:b w:val="0"/>
                <w:sz w:val="20"/>
              </w:rPr>
              <w:t>Use the “Protected — my group” option</w:t>
            </w:r>
          </w:p>
        </w:tc>
        <w:tc>
          <w:tcPr>
            <w:tcW w:type="dxa" w:w="2160"/>
          </w:tcPr>
          <w:p>
            <w:r/>
            <w:r>
              <w:rPr>
                <w:b/>
                <w:color w:val="E5484D"/>
                <w:sz w:val="20"/>
              </w:rPr>
              <w:t>No</w:t>
            </w:r>
          </w:p>
        </w:tc>
        <w:tc>
          <w:tcPr>
            <w:tcW w:type="dxa" w:w="2016"/>
          </w:tcPr>
          <w:p>
            <w:r/>
            <w:r>
              <w:rPr>
                <w:b/>
                <w:color w:val="1A7F52"/>
                <w:sz w:val="20"/>
              </w:rPr>
              <w:t>Yes</w:t>
            </w:r>
          </w:p>
        </w:tc>
        <w:tc>
          <w:tcPr>
            <w:tcW w:type="dxa" w:w="2160"/>
          </w:tcPr>
          <w:p>
            <w:r/>
            <w:r>
              <w:rPr>
                <w:b/>
                <w:color w:val="1A7F52"/>
                <w:sz w:val="20"/>
              </w:rPr>
              <w:t>Yes</w:t>
            </w:r>
          </w:p>
        </w:tc>
      </w:tr>
      <w:tr>
        <w:tc>
          <w:tcPr>
            <w:tcW w:type="dxa" w:w="3744"/>
          </w:tcPr>
          <w:p>
            <w:r/>
            <w:r>
              <w:rPr>
                <w:b w:val="0"/>
                <w:sz w:val="20"/>
              </w:rPr>
              <w:t>Write protected rows (ingest-only)</w:t>
            </w:r>
          </w:p>
        </w:tc>
        <w:tc>
          <w:tcPr>
            <w:tcW w:type="dxa" w:w="2160"/>
          </w:tcPr>
          <w:p>
            <w:r/>
            <w:r>
              <w:rPr>
                <w:b/>
                <w:color w:val="E5484D"/>
                <w:sz w:val="20"/>
              </w:rPr>
              <w:t>No</w:t>
            </w:r>
          </w:p>
        </w:tc>
        <w:tc>
          <w:tcPr>
            <w:tcW w:type="dxa" w:w="2016"/>
          </w:tcPr>
          <w:p>
            <w:r/>
            <w:r>
              <w:rPr>
                <w:b/>
                <w:color w:val="1A7F52"/>
                <w:sz w:val="20"/>
              </w:rPr>
              <w:t>Yes</w:t>
            </w:r>
          </w:p>
        </w:tc>
        <w:tc>
          <w:tcPr>
            <w:tcW w:type="dxa" w:w="2160"/>
          </w:tcPr>
          <w:p>
            <w:r/>
            <w:r>
              <w:rPr>
                <w:b/>
                <w:color w:val="1A7F52"/>
                <w:sz w:val="20"/>
              </w:rPr>
              <w:t>Yes</w:t>
            </w:r>
          </w:p>
        </w:tc>
      </w:tr>
      <w:tr>
        <w:tc>
          <w:tcPr>
            <w:tcW w:type="dxa" w:w="3744"/>
          </w:tcPr>
          <w:p>
            <w:r/>
            <w:r>
              <w:rPr>
                <w:b w:val="0"/>
                <w:sz w:val="20"/>
              </w:rPr>
              <w:t>Query protected group data</w:t>
            </w:r>
          </w:p>
        </w:tc>
        <w:tc>
          <w:tcPr>
            <w:tcW w:type="dxa" w:w="2160"/>
          </w:tcPr>
          <w:p>
            <w:r/>
            <w:r>
              <w:rPr>
                <w:b/>
                <w:color w:val="E5484D"/>
                <w:sz w:val="20"/>
              </w:rPr>
              <w:t>No</w:t>
            </w:r>
          </w:p>
        </w:tc>
        <w:tc>
          <w:tcPr>
            <w:tcW w:type="dxa" w:w="2016"/>
          </w:tcPr>
          <w:p>
            <w:r/>
            <w:r>
              <w:rPr>
                <w:b/>
                <w:color w:val="1A7F52"/>
                <w:sz w:val="20"/>
              </w:rPr>
              <w:t>Yes</w:t>
            </w:r>
          </w:p>
        </w:tc>
        <w:tc>
          <w:tcPr>
            <w:tcW w:type="dxa" w:w="2160"/>
          </w:tcPr>
          <w:p>
            <w:r/>
            <w:r>
              <w:rPr>
                <w:b/>
                <w:color w:val="1A7F52"/>
                <w:sz w:val="20"/>
              </w:rPr>
              <w:t>Yes (logged)</w:t>
            </w:r>
          </w:p>
        </w:tc>
      </w:tr>
    </w:tbl>
    <w:p>
      <w:pPr>
        <w:ind w:left="216"/>
      </w:pPr>
      <w:r>
        <w:rPr>
          <w:b/>
          <w:color w:val="7C3AED"/>
        </w:rPr>
        <w:t xml:space="preserve">▍ </w:t>
      </w:r>
      <w:r>
        <w:rPr>
          <w:sz w:val="20"/>
        </w:rPr>
        <w:t>Server-enforced, always. The owner stamped on private data and the group flag on protected data are both taken from the server-injected Easy Auth / group headers — never from client input — so a user cannot write data as someone else, cannot read rows they don't own, and cannot smuggle rows into the protected tier without being in the group. Enforcement is in the database; the UI is only convenience.</w:t>
      </w:r>
    </w:p>
    <w:p>
      <w:r>
        <w:rPr>
          <w:b/>
          <w:color w:val="7C3AED"/>
          <w:sz w:val="30"/>
        </w:rPr>
        <w:t>4   The sensitivity selector — ingest path</w:t>
      </w:r>
    </w:p>
    <w:p>
      <w:r>
        <w:rPr>
          <w:color w:val="6B6480"/>
          <w:sz w:val="20"/>
        </w:rPr>
        <w:t>Every user's ingest screen offers Shared and Private; group members additionally see Protected. Choosing Private or Protected forces the INGEST-ONLY path (never written to local disk). The server stamps the owner from the authenticated identity header, and re-checks group membership before accepting a protected upload — so a non-member cannot post their way into the group tier.</w:t>
      </w:r>
    </w:p>
    <w:p>
      <w:pPr>
        <w:ind w:left="288"/>
      </w:pPr>
      <w:r>
        <w:rPr>
          <w:b/>
          <w:color w:val="7C3AED"/>
        </w:rPr>
        <w:t xml:space="preserve">1. </w:t>
      </w:r>
      <w:r>
        <w:rPr>
          <w:b/>
        </w:rPr>
        <w:t>Authenticated BayOne user opens Ingest</w:t>
      </w:r>
      <w:r>
        <w:rPr>
          <w:color w:val="6B6480"/>
        </w:rPr>
        <w:t xml:space="preserve"> — Structure with Claude, then preview.</w:t>
      </w:r>
    </w:p>
    <w:p>
      <w:pPr>
        <w:ind w:left="288"/>
      </w:pPr>
      <w:r>
        <w:rPr>
          <w:b/>
          <w:color w:val="7C3AED"/>
        </w:rPr>
        <w:t xml:space="preserve">2. </w:t>
      </w:r>
      <w:r>
        <w:rPr>
          <w:b/>
        </w:rPr>
        <w:t>Choose sensitivity</w:t>
      </w:r>
      <w:r>
        <w:rPr>
          <w:color w:val="6B6480"/>
        </w:rPr>
        <w:t xml:space="preserve"> — Internal / shared, Private / only me, or Protected / my group (members only).</w:t>
      </w:r>
    </w:p>
    <w:p>
      <w:pPr>
        <w:ind w:left="288"/>
      </w:pPr>
      <w:r>
        <w:rPr>
          <w:b/>
          <w:color w:val="7C3AED"/>
        </w:rPr>
        <w:t xml:space="preserve">3. </w:t>
      </w:r>
      <w:r>
        <w:rPr>
          <w:b/>
        </w:rPr>
        <w:t>Internal → commit as SENSITIVITY = internal</w:t>
      </w:r>
      <w:r>
        <w:rPr>
          <w:color w:val="6B6480"/>
        </w:rPr>
        <w:t xml:space="preserve"> — Draft may be saved.</w:t>
      </w:r>
    </w:p>
    <w:p>
      <w:pPr>
        <w:ind w:left="288"/>
      </w:pPr>
      <w:r>
        <w:rPr>
          <w:b/>
          <w:color w:val="7C3AED"/>
        </w:rPr>
        <w:t xml:space="preserve">4. </w:t>
      </w:r>
      <w:r>
        <w:rPr>
          <w:b/>
        </w:rPr>
        <w:t>Private → forced ingest-only</w:t>
      </w:r>
      <w:r>
        <w:rPr>
          <w:color w:val="6B6480"/>
        </w:rPr>
        <w:t xml:space="preserve"> — Nothing kept locally; server stamps INGESTED_BY = caller.</w:t>
      </w:r>
    </w:p>
    <w:p>
      <w:pPr>
        <w:ind w:left="288"/>
      </w:pPr>
      <w:r>
        <w:rPr>
          <w:b/>
          <w:color w:val="7C3AED"/>
        </w:rPr>
        <w:t xml:space="preserve">5. </w:t>
      </w:r>
      <w:r>
        <w:rPr>
          <w:b/>
        </w:rPr>
        <w:t>Protected → server re-checks group membership</w:t>
      </w:r>
      <w:r>
        <w:rPr>
          <w:color w:val="6B6480"/>
        </w:rPr>
        <w:t xml:space="preserve"> — Non-members are rejected (403); members proceed ingest-only.</w:t>
      </w:r>
    </w:p>
    <w:p>
      <w:pPr>
        <w:ind w:left="288"/>
      </w:pPr>
      <w:r>
        <w:rPr>
          <w:b/>
          <w:color w:val="7C3AED"/>
        </w:rPr>
        <w:t xml:space="preserve">6. </w:t>
      </w:r>
      <w:r>
        <w:rPr>
          <w:b/>
        </w:rPr>
        <w:t>Commit as SENSITIVITY = private / protected</w:t>
      </w:r>
      <w:r>
        <w:rPr>
          <w:color w:val="6B6480"/>
        </w:rPr>
        <w:t xml:space="preserve"> — Written to Snowflake KB tables via the write-only role; INGESTED_BY = caller from the Easy Auth header, not client input.</w:t>
      </w:r>
    </w:p>
    <w:p>
      <w:pPr>
        <w:ind w:left="216"/>
      </w:pPr>
      <w:r>
        <w:rPr>
          <w:b/>
          <w:color w:val="7C3AED"/>
        </w:rPr>
        <w:t xml:space="preserve">▍ </w:t>
      </w:r>
      <w:r>
        <w:rPr>
          <w:sz w:val="20"/>
        </w:rPr>
        <w:t>The write role can INSERT only — no read-back, no DDL. Both KB tables carry a SENSITIVITY column (internal / private / protected) and an INGESTED_BY column (the ingester's email; empty for internal rows). Protected rows are scoped by GROUP at query time, so INGESTED_BY on them is an audit trail rather than the access key.</w:t>
      </w:r>
    </w:p>
    <w:p>
      <w:r>
        <w:rPr>
          <w:b/>
          <w:color w:val="7C3AED"/>
          <w:sz w:val="30"/>
        </w:rPr>
        <w:t>5   Query path — how isolation is actually enforced</w:t>
      </w:r>
    </w:p>
    <w:p>
      <w:r>
        <w:rPr>
          <w:color w:val="6B6480"/>
          <w:sz w:val="20"/>
        </w:rPr>
        <w:t>This is the load-bearing part. Since the agent writes its own SQL, isolation can't rely on the app filtering nicely. Enforcement moves INTO Snowflake: one read role plus a ROW-ACCESS POLICY that compares each private row's INGESTED_BY to the caller and gates each protected row on the caller's group flag. The app binds both the caller identity and the protected-group flag to the Snowflake session before the agent runs its query.</w:t>
      </w:r>
    </w:p>
    <w:p>
      <w:pPr>
        <w:ind w:left="288"/>
      </w:pPr>
      <w:r>
        <w:rPr>
          <w:b/>
          <w:color w:val="7C3AED"/>
        </w:rPr>
        <w:t xml:space="preserve">1. </w:t>
      </w:r>
      <w:r>
        <w:rPr>
          <w:b/>
        </w:rPr>
        <w:t>User asks a question</w:t>
      </w:r>
    </w:p>
    <w:p>
      <w:pPr>
        <w:ind w:left="288"/>
      </w:pPr>
      <w:r>
        <w:rPr>
          <w:b/>
          <w:color w:val="7C3AED"/>
        </w:rPr>
        <w:t xml:space="preserve">2. </w:t>
      </w:r>
      <w:r>
        <w:rPr>
          <w:b/>
        </w:rPr>
        <w:t>App binds BAYI_CALLER = identity and BAYI_PROTECTED = in-group? to the session</w:t>
      </w:r>
      <w:r>
        <w:rPr>
          <w:color w:val="6B6480"/>
        </w:rPr>
        <w:t xml:space="preserve"> — From the server-trusted Easy Auth email and Entra/M365 group claim.</w:t>
      </w:r>
    </w:p>
    <w:p>
      <w:pPr>
        <w:ind w:left="288"/>
      </w:pPr>
      <w:r>
        <w:rPr>
          <w:b/>
          <w:color w:val="7C3AED"/>
        </w:rPr>
        <w:t xml:space="preserve">3. </w:t>
      </w:r>
      <w:r>
        <w:rPr>
          <w:b/>
        </w:rPr>
        <w:t>Run on BAYI_READ</w:t>
      </w:r>
      <w:r>
        <w:rPr>
          <w:color w:val="6B6480"/>
        </w:rPr>
        <w:t xml:space="preserve"> — Admin path uses BAYI_ADMIN_READ.</w:t>
      </w:r>
    </w:p>
    <w:p>
      <w:pPr>
        <w:ind w:left="288"/>
      </w:pPr>
      <w:r>
        <w:rPr>
          <w:b/>
          <w:color w:val="7C3AED"/>
        </w:rPr>
        <w:t xml:space="preserve">4. </w:t>
      </w:r>
      <w:r>
        <w:rPr>
          <w:b/>
        </w:rPr>
        <w:t>Claude agent writes SQL</w:t>
      </w:r>
      <w:r>
        <w:rPr>
          <w:color w:val="6B6480"/>
        </w:rPr>
        <w:t xml:space="preserve"> — SELECT-only, row cap.</w:t>
      </w:r>
    </w:p>
    <w:p>
      <w:pPr>
        <w:ind w:left="288"/>
      </w:pPr>
      <w:r>
        <w:rPr>
          <w:b/>
          <w:color w:val="7C3AED"/>
        </w:rPr>
        <w:t xml:space="preserve">5. </w:t>
      </w:r>
      <w:r>
        <w:rPr>
          <w:b/>
        </w:rPr>
        <w:t>Snowflake runs the query</w:t>
      </w:r>
      <w:r>
        <w:rPr>
          <w:color w:val="6B6480"/>
        </w:rPr>
        <w:t xml:space="preserve"> — Row-access policy evaluates on the KB tables.</w:t>
      </w:r>
    </w:p>
    <w:p>
      <w:pPr>
        <w:ind w:left="288"/>
      </w:pPr>
      <w:r>
        <w:rPr>
          <w:b/>
          <w:color w:val="7C3AED"/>
        </w:rPr>
        <w:t xml:space="preserve">6. </w:t>
      </w:r>
      <w:r>
        <w:rPr>
          <w:b/>
        </w:rPr>
        <w:t>Internal row</w:t>
      </w:r>
      <w:r>
        <w:rPr>
          <w:color w:val="6B6480"/>
        </w:rPr>
        <w:t xml:space="preserve"> — Returned to everyone.</w:t>
      </w:r>
    </w:p>
    <w:p>
      <w:pPr>
        <w:ind w:left="288"/>
      </w:pPr>
      <w:r>
        <w:rPr>
          <w:b/>
          <w:color w:val="7C3AED"/>
        </w:rPr>
        <w:t xml:space="preserve">7. </w:t>
      </w:r>
      <w:r>
        <w:rPr>
          <w:b/>
        </w:rPr>
        <w:t>Private row, INGESTED_BY = caller</w:t>
      </w:r>
      <w:r>
        <w:rPr>
          <w:color w:val="6B6480"/>
        </w:rPr>
        <w:t xml:space="preserve"> — Returned to its owner.</w:t>
      </w:r>
    </w:p>
    <w:p>
      <w:pPr>
        <w:ind w:left="288"/>
      </w:pPr>
      <w:r>
        <w:rPr>
          <w:b/>
          <w:color w:val="7C3AED"/>
        </w:rPr>
        <w:t xml:space="preserve">8. </w:t>
      </w:r>
      <w:r>
        <w:rPr>
          <w:b/>
        </w:rPr>
        <w:t>Protected row, caller in group</w:t>
      </w:r>
      <w:r>
        <w:rPr>
          <w:color w:val="6B6480"/>
        </w:rPr>
        <w:t xml:space="preserve"> — Returned to group members.</w:t>
      </w:r>
    </w:p>
    <w:p>
      <w:pPr>
        <w:ind w:left="288"/>
      </w:pPr>
      <w:r>
        <w:rPr>
          <w:b/>
          <w:color w:val="7C3AED"/>
        </w:rPr>
        <w:t xml:space="preserve">9. </w:t>
      </w:r>
      <w:r>
        <w:rPr>
          <w:b/>
        </w:rPr>
        <w:t>Private (other owner) / protected (non-member)</w:t>
      </w:r>
      <w:r>
        <w:rPr>
          <w:color w:val="6B6480"/>
        </w:rPr>
        <w:t xml:space="preserve"> — Dropped — unless role = BAYI_ADMIN_READ.</w:t>
      </w:r>
    </w:p>
    <w:p>
      <w:pPr>
        <w:ind w:left="216"/>
      </w:pPr>
      <w:r>
        <w:rPr>
          <w:b/>
          <w:color w:val="8A6100"/>
        </w:rPr>
        <w:t xml:space="preserve">▍ </w:t>
      </w:r>
      <w:r>
        <w:rPr>
          <w:sz w:val="20"/>
        </w:rPr>
        <w:t>Defense in depth: even if a prompt-injected document coaxes the model into SELECT * FROM …, a caller's connection PHYSICALLY CANNOT return another user's private rows or a non-member's protected rows — the database drops them before results leave Snowflake.</w:t>
      </w:r>
    </w:p>
    <w:p>
      <w:r>
        <w:rPr>
          <w:b/>
          <w:color w:val="1E1630"/>
          <w:sz w:val="21"/>
        </w:rPr>
        <w:t>THE SNOWFLAKE PIECES</w:t>
      </w:r>
    </w:p>
    <w:tbl>
      <w:tblPr>
        <w:tblStyle w:val="TableGrid"/>
        <w:tblW w:type="auto" w:w="0"/>
        <w:jc w:val="center"/>
        <w:tblLook w:firstColumn="1" w:firstRow="1" w:lastColumn="0" w:lastRow="0" w:noHBand="0" w:noVBand="1" w:val="04A0"/>
      </w:tblPr>
      <w:tblGrid>
        <w:gridCol w:w="4320"/>
        <w:gridCol w:w="4320"/>
      </w:tblGrid>
      <w:tr>
        <w:tc>
          <w:tcPr>
            <w:tcW w:type="dxa" w:w="3456"/>
            <w:shd w:val="clear" w:fill="EDE4FB"/>
          </w:tcPr>
          <w:p>
            <w:r/>
            <w:r>
              <w:rPr>
                <w:b/>
                <w:sz w:val="20"/>
              </w:rPr>
              <w:t>Object</w:t>
            </w:r>
          </w:p>
        </w:tc>
        <w:tc>
          <w:tcPr>
            <w:tcW w:type="dxa" w:w="5904"/>
            <w:shd w:val="clear" w:fill="EDE4FB"/>
          </w:tcPr>
          <w:p>
            <w:r/>
            <w:r>
              <w:rPr>
                <w:b/>
                <w:sz w:val="20"/>
              </w:rPr>
              <w:t>What it does</w:t>
            </w:r>
          </w:p>
        </w:tc>
      </w:tr>
      <w:tr>
        <w:tc>
          <w:tcPr>
            <w:tcW w:type="dxa" w:w="3456"/>
          </w:tcPr>
          <w:p>
            <w:r/>
            <w:r>
              <w:rPr>
                <w:b w:val="0"/>
                <w:sz w:val="20"/>
              </w:rPr>
              <w:t>BAYI_READ role</w:t>
            </w:r>
          </w:p>
        </w:tc>
        <w:tc>
          <w:tcPr>
            <w:tcW w:type="dxa" w:w="5904"/>
          </w:tcPr>
          <w:p>
            <w:r/>
            <w:r>
              <w:rPr>
                <w:b w:val="0"/>
                <w:sz w:val="20"/>
              </w:rPr>
              <w:t>SELECT on the KB tables; the row policy filters rows to internal + the caller's own private rows + protected rows when the caller's group flag is set.</w:t>
            </w:r>
          </w:p>
        </w:tc>
      </w:tr>
      <w:tr>
        <w:tc>
          <w:tcPr>
            <w:tcW w:type="dxa" w:w="3456"/>
          </w:tcPr>
          <w:p>
            <w:r/>
            <w:r>
              <w:rPr>
                <w:b w:val="0"/>
                <w:sz w:val="20"/>
              </w:rPr>
              <w:t>BAYI_ADMIN_READ role</w:t>
            </w:r>
          </w:p>
        </w:tc>
        <w:tc>
          <w:tcPr>
            <w:tcW w:type="dxa" w:w="5904"/>
          </w:tcPr>
          <w:p>
            <w:r/>
            <w:r>
              <w:rPr>
                <w:b w:val="0"/>
                <w:sz w:val="20"/>
              </w:rPr>
              <w:t>Break-glass. SELECT with the row policy allowing all rows, including every user's private data and all protected data. Rare, and every use is logged.</w:t>
            </w:r>
          </w:p>
        </w:tc>
      </w:tr>
      <w:tr>
        <w:tc>
          <w:tcPr>
            <w:tcW w:type="dxa" w:w="3456"/>
          </w:tcPr>
          <w:p>
            <w:r/>
            <w:r>
              <w:rPr>
                <w:b w:val="0"/>
                <w:sz w:val="20"/>
              </w:rPr>
              <w:t>BAYI_INGEST_WRITE role</w:t>
            </w:r>
          </w:p>
        </w:tc>
        <w:tc>
          <w:tcPr>
            <w:tcW w:type="dxa" w:w="5904"/>
          </w:tcPr>
          <w:p>
            <w:r/>
            <w:r>
              <w:rPr>
                <w:b w:val="0"/>
                <w:sz w:val="20"/>
              </w:rPr>
              <w:t>INSERT only, on the two ingest tables. No read, no DDL.</w:t>
            </w:r>
          </w:p>
        </w:tc>
      </w:tr>
      <w:tr>
        <w:tc>
          <w:tcPr>
            <w:tcW w:type="dxa" w:w="3456"/>
          </w:tcPr>
          <w:p>
            <w:r/>
            <w:r>
              <w:rPr>
                <w:b w:val="0"/>
                <w:sz w:val="20"/>
              </w:rPr>
              <w:t>Row-access policy rap_ownership</w:t>
            </w:r>
          </w:p>
        </w:tc>
        <w:tc>
          <w:tcPr>
            <w:tcW w:type="dxa" w:w="5904"/>
          </w:tcPr>
          <w:p>
            <w:r/>
            <w:r>
              <w:rPr>
                <w:b w:val="0"/>
                <w:sz w:val="20"/>
              </w:rPr>
              <w:t>Returns a row when SENSITIVITY = 'internal' OR (SENSITIVITY = 'private' AND INGESTED_BY = getvariable('BAYI_CALLER')) OR (SENSITIVITY = 'protected' AND getvariable('BAYI_PROTECTED') = 'true') OR CURRENT_ROLE() = 'BAYI_ADMIN_READ'. Attached to both KB tables.</w:t>
            </w:r>
          </w:p>
        </w:tc>
      </w:tr>
    </w:tbl>
    <w:p>
      <w:pPr>
        <w:ind w:left="216"/>
      </w:pPr>
      <w:r>
        <w:rPr>
          <w:b/>
          <w:color w:val="7C3AED"/>
        </w:rPr>
        <w:t xml:space="preserve">▍ </w:t>
      </w:r>
      <w:r>
        <w:rPr>
          <w:sz w:val="20"/>
        </w:rPr>
        <w:t>The one trust assumption. Isolation depends on the app binding both the caller identity (BAYI_CALLER) and the protected-group flag (BAYI_PROTECTED) to the Snowflake session from the SERVER-INJECTED Easy Auth / group headers (never client input) and resetting them when a pooled connection is reused. Agent runs are already serialized on the shared connector, so setting both per request fits cleanly. The exact Snowflake mechanism (session variables read by the policy, or a per-request session) is a build-time detail to confirm.</w:t>
      </w:r>
    </w:p>
    <w:p>
      <w:pPr>
        <w:ind w:left="216"/>
      </w:pPr>
      <w:r>
        <w:rPr>
          <w:b/>
          <w:color w:val="8A6100"/>
        </w:rPr>
        <w:t xml:space="preserve">▍ </w:t>
      </w:r>
      <w:r>
        <w:rPr>
          <w:sz w:val="20"/>
        </w:rPr>
        <w:t>Replaces ACCOUNTADMIN. Today both read and write run as ACCOUNTADMIN (full account control). These least-privilege roles retire that for the app entirely — the single biggest risk reduction on this list.</w:t>
      </w:r>
    </w:p>
    <w:p>
      <w:r>
        <w:rPr>
          <w:b/>
          <w:color w:val="7C3AED"/>
          <w:sz w:val="30"/>
        </w:rPr>
        <w:t>6   Where each control lives (trust boundaries)</w:t>
      </w:r>
    </w:p>
    <w:p>
      <w:pPr>
        <w:ind w:left="288"/>
      </w:pPr>
      <w:r>
        <w:rPr>
          <w:b/>
          <w:color w:val="7C3AED"/>
        </w:rPr>
        <w:t xml:space="preserve">1. </w:t>
      </w:r>
      <w:r>
        <w:rPr>
          <w:b/>
        </w:rPr>
        <w:t>Boundary 1 — internet → Azure</w:t>
      </w:r>
      <w:r>
        <w:rPr>
          <w:color w:val="6B6480"/>
        </w:rPr>
        <w:t xml:space="preserve"> — Only authenticated BayOne accounts pass (Easy Auth gate, Entra single-tenant).</w:t>
      </w:r>
    </w:p>
    <w:p>
      <w:pPr>
        <w:ind w:left="288"/>
      </w:pPr>
      <w:r>
        <w:rPr>
          <w:b/>
          <w:color w:val="7C3AED"/>
        </w:rPr>
        <w:t xml:space="preserve">2. </w:t>
      </w:r>
      <w:r>
        <w:rPr>
          <w:b/>
        </w:rPr>
        <w:t>Boundary 2 — app → Snowflake</w:t>
      </w:r>
      <w:r>
        <w:rPr>
          <w:color w:val="6B6480"/>
        </w:rPr>
        <w:t xml:space="preserve"> — The app binds the caller identity and protected-group flag to the session (BAYI_READ, or BAYI_ADMIN_READ for break-glass; BAYI_INGEST_WRITE for writes); the DB enforces per-owner and per-group row visibility via the row-access policy.</w:t>
      </w:r>
    </w:p>
    <w:p>
      <w:pPr>
        <w:ind w:left="288"/>
      </w:pPr>
      <w:r>
        <w:rPr>
          <w:b/>
          <w:color w:val="7C3AED"/>
        </w:rPr>
        <w:t xml:space="preserve">3. </w:t>
      </w:r>
      <w:r>
        <w:rPr>
          <w:b/>
        </w:rPr>
        <w:t>Boundary 3 — app → Anthropic</w:t>
      </w:r>
      <w:r>
        <w:rPr>
          <w:color w:val="6B6480"/>
        </w:rPr>
        <w:t xml:space="preserve"> — Commercial terms (no training); private and protected uploads are ingest-only and a ZDR agreement removes retention.</w:t>
      </w:r>
    </w:p>
    <w:p>
      <w:r>
        <w:rPr>
          <w:color w:val="6B6480"/>
          <w:sz w:val="20"/>
        </w:rPr>
        <w:t>Within Azure App Service: the Easy Auth gate feeds the BayI app (binds caller identity + group flag + server-side owner stamp), which persists only internal draft history to an Azure Files volume. Within the Snowflake account: BAYI_READ (plus the BAYI_ADMIN_READ break-glass role) and BAYI_INGEST_WRITE all sit behind the row-access policy that filters by owner and group flag.</w:t>
      </w:r>
    </w:p>
    <w:p>
      <w:r>
        <w:rPr>
          <w:b/>
          <w:color w:val="7C3AED"/>
          <w:sz w:val="30"/>
        </w:rPr>
        <w:t>7   Decisions — locked</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fill="EDE4FB"/>
          </w:tcPr>
          <w:p>
            <w:r/>
            <w:r>
              <w:rPr>
                <w:b/>
                <w:sz w:val="20"/>
              </w:rPr>
              <w:t>#</w:t>
            </w:r>
          </w:p>
        </w:tc>
        <w:tc>
          <w:tcPr>
            <w:tcW w:type="dxa" w:w="2448"/>
            <w:shd w:val="clear" w:fill="EDE4FB"/>
          </w:tcPr>
          <w:p>
            <w:r/>
            <w:r>
              <w:rPr>
                <w:b/>
                <w:sz w:val="20"/>
              </w:rPr>
              <w:t>Decision</w:t>
            </w:r>
          </w:p>
        </w:tc>
        <w:tc>
          <w:tcPr>
            <w:tcW w:type="dxa" w:w="6336"/>
            <w:shd w:val="clear" w:fill="EDE4FB"/>
          </w:tcPr>
          <w:p>
            <w:r/>
            <w:r>
              <w:rPr>
                <w:b/>
                <w:sz w:val="20"/>
              </w:rPr>
              <w:t>Answer</w:t>
            </w:r>
          </w:p>
        </w:tc>
      </w:tr>
      <w:tr>
        <w:tc>
          <w:tcPr>
            <w:tcW w:type="dxa" w:w="576"/>
          </w:tcPr>
          <w:p>
            <w:r/>
            <w:r>
              <w:rPr>
                <w:b w:val="0"/>
                <w:sz w:val="20"/>
              </w:rPr>
              <w:t>1</w:t>
            </w:r>
          </w:p>
        </w:tc>
        <w:tc>
          <w:tcPr>
            <w:tcW w:type="dxa" w:w="2448"/>
          </w:tcPr>
          <w:p>
            <w:r/>
            <w:r>
              <w:rPr>
                <w:b w:val="0"/>
                <w:sz w:val="20"/>
              </w:rPr>
              <w:t>Sensitivity model</w:t>
            </w:r>
          </w:p>
        </w:tc>
        <w:tc>
          <w:tcPr>
            <w:tcW w:type="dxa" w:w="6336"/>
          </w:tcPr>
          <w:p>
            <w:r/>
            <w:r>
              <w:rPr>
                <w:b w:val="0"/>
                <w:sz w:val="20"/>
              </w:rPr>
              <w:t>Three data classes: internal (shared), private (per-owner), and protected (one privileged group). Reinstates the group tier above per-owner private.</w:t>
            </w:r>
          </w:p>
        </w:tc>
      </w:tr>
      <w:tr>
        <w:tc>
          <w:tcPr>
            <w:tcW w:type="dxa" w:w="576"/>
          </w:tcPr>
          <w:p>
            <w:r/>
            <w:r>
              <w:rPr>
                <w:b w:val="0"/>
                <w:sz w:val="20"/>
              </w:rPr>
              <w:t>2</w:t>
            </w:r>
          </w:p>
        </w:tc>
        <w:tc>
          <w:tcPr>
            <w:tcW w:type="dxa" w:w="2448"/>
          </w:tcPr>
          <w:p>
            <w:r/>
            <w:r>
              <w:rPr>
                <w:b w:val="0"/>
                <w:sz w:val="20"/>
              </w:rPr>
              <w:t>Who can create private data</w:t>
            </w:r>
          </w:p>
        </w:tc>
        <w:tc>
          <w:tcPr>
            <w:tcW w:type="dxa" w:w="6336"/>
          </w:tcPr>
          <w:p>
            <w:r/>
            <w:r>
              <w:rPr>
                <w:b w:val="0"/>
                <w:sz w:val="20"/>
              </w:rPr>
              <w:t>Any authenticated BayOne user — no group, no approval.</w:t>
            </w:r>
          </w:p>
        </w:tc>
      </w:tr>
      <w:tr>
        <w:tc>
          <w:tcPr>
            <w:tcW w:type="dxa" w:w="576"/>
          </w:tcPr>
          <w:p>
            <w:r/>
            <w:r>
              <w:rPr>
                <w:b w:val="0"/>
                <w:sz w:val="20"/>
              </w:rPr>
              <w:t>3</w:t>
            </w:r>
          </w:p>
        </w:tc>
        <w:tc>
          <w:tcPr>
            <w:tcW w:type="dxa" w:w="2448"/>
          </w:tcPr>
          <w:p>
            <w:r/>
            <w:r>
              <w:rPr>
                <w:b w:val="0"/>
                <w:sz w:val="20"/>
              </w:rPr>
              <w:t>Who can create protected data</w:t>
            </w:r>
          </w:p>
        </w:tc>
        <w:tc>
          <w:tcPr>
            <w:tcW w:type="dxa" w:w="6336"/>
          </w:tcPr>
          <w:p>
            <w:r/>
            <w:r>
              <w:rPr>
                <w:b w:val="0"/>
                <w:sz w:val="20"/>
              </w:rPr>
              <w:t>Only members of the single privileged Entra/M365 group (SG-BayI-Sensitive) — gated server-side at ingest.</w:t>
            </w:r>
          </w:p>
        </w:tc>
      </w:tr>
      <w:tr>
        <w:tc>
          <w:tcPr>
            <w:tcW w:type="dxa" w:w="576"/>
          </w:tcPr>
          <w:p>
            <w:r/>
            <w:r>
              <w:rPr>
                <w:b w:val="0"/>
                <w:sz w:val="20"/>
              </w:rPr>
              <w:t>4</w:t>
            </w:r>
          </w:p>
        </w:tc>
        <w:tc>
          <w:tcPr>
            <w:tcW w:type="dxa" w:w="2448"/>
          </w:tcPr>
          <w:p>
            <w:r/>
            <w:r>
              <w:rPr>
                <w:b w:val="0"/>
                <w:sz w:val="20"/>
              </w:rPr>
              <w:t>Private visibility</w:t>
            </w:r>
          </w:p>
        </w:tc>
        <w:tc>
          <w:tcPr>
            <w:tcW w:type="dxa" w:w="6336"/>
          </w:tcPr>
          <w:p>
            <w:r/>
            <w:r>
              <w:rPr>
                <w:b w:val="0"/>
                <w:sz w:val="20"/>
              </w:rPr>
              <w:t>Only the owner (the person who ingested it), enforced by the row-access policy on INGESTED_BY.</w:t>
            </w:r>
          </w:p>
        </w:tc>
      </w:tr>
      <w:tr>
        <w:tc>
          <w:tcPr>
            <w:tcW w:type="dxa" w:w="576"/>
          </w:tcPr>
          <w:p>
            <w:r/>
            <w:r>
              <w:rPr>
                <w:b w:val="0"/>
                <w:sz w:val="20"/>
              </w:rPr>
              <w:t>5</w:t>
            </w:r>
          </w:p>
        </w:tc>
        <w:tc>
          <w:tcPr>
            <w:tcW w:type="dxa" w:w="2448"/>
          </w:tcPr>
          <w:p>
            <w:r/>
            <w:r>
              <w:rPr>
                <w:b w:val="0"/>
                <w:sz w:val="20"/>
              </w:rPr>
              <w:t>Protected visibility</w:t>
            </w:r>
          </w:p>
        </w:tc>
        <w:tc>
          <w:tcPr>
            <w:tcW w:type="dxa" w:w="6336"/>
          </w:tcPr>
          <w:p>
            <w:r/>
            <w:r>
              <w:rPr>
                <w:b w:val="0"/>
                <w:sz w:val="20"/>
              </w:rPr>
              <w:t>Every member of the privileged group, enforced by the policy on a per-request group flag (BAYI_PROTECTED) — not by row owner.</w:t>
            </w:r>
          </w:p>
        </w:tc>
      </w:tr>
      <w:tr>
        <w:tc>
          <w:tcPr>
            <w:tcW w:type="dxa" w:w="576"/>
          </w:tcPr>
          <w:p>
            <w:r/>
            <w:r>
              <w:rPr>
                <w:b w:val="0"/>
                <w:sz w:val="20"/>
              </w:rPr>
              <w:t>6</w:t>
            </w:r>
          </w:p>
        </w:tc>
        <w:tc>
          <w:tcPr>
            <w:tcW w:type="dxa" w:w="2448"/>
          </w:tcPr>
          <w:p>
            <w:r/>
            <w:r>
              <w:rPr>
                <w:b w:val="0"/>
                <w:sz w:val="20"/>
              </w:rPr>
              <w:t>Break-glass</w:t>
            </w:r>
          </w:p>
        </w:tc>
        <w:tc>
          <w:tcPr>
            <w:tcW w:type="dxa" w:w="6336"/>
          </w:tcPr>
          <w:p>
            <w:r/>
            <w:r>
              <w:rPr>
                <w:b w:val="0"/>
                <w:sz w:val="20"/>
              </w:rPr>
              <w:t>One named admin/compliance role (BAYI_ADMIN_READ) can read all private and protected data, logged, for offboarding/legal.</w:t>
            </w:r>
          </w:p>
        </w:tc>
      </w:tr>
      <w:tr>
        <w:tc>
          <w:tcPr>
            <w:tcW w:type="dxa" w:w="576"/>
          </w:tcPr>
          <w:p>
            <w:r/>
            <w:r>
              <w:rPr>
                <w:b w:val="0"/>
                <w:sz w:val="20"/>
              </w:rPr>
              <w:t>7</w:t>
            </w:r>
          </w:p>
        </w:tc>
        <w:tc>
          <w:tcPr>
            <w:tcW w:type="dxa" w:w="2448"/>
          </w:tcPr>
          <w:p>
            <w:r/>
            <w:r>
              <w:rPr>
                <w:b w:val="0"/>
                <w:sz w:val="20"/>
              </w:rPr>
              <w:t>Identity &amp; group source</w:t>
            </w:r>
          </w:p>
        </w:tc>
        <w:tc>
          <w:tcPr>
            <w:tcW w:type="dxa" w:w="6336"/>
          </w:tcPr>
          <w:p>
            <w:r/>
            <w:r>
              <w:rPr>
                <w:b w:val="0"/>
                <w:sz w:val="20"/>
              </w:rPr>
              <w:t>The Easy Auth-injected email and the Entra/M365 group claim — server-stamped, never client-settable.</w:t>
            </w:r>
          </w:p>
        </w:tc>
      </w:tr>
      <w:tr>
        <w:tc>
          <w:tcPr>
            <w:tcW w:type="dxa" w:w="576"/>
          </w:tcPr>
          <w:p>
            <w:r/>
            <w:r>
              <w:rPr>
                <w:b w:val="0"/>
                <w:sz w:val="20"/>
              </w:rPr>
              <w:t>8</w:t>
            </w:r>
          </w:p>
        </w:tc>
        <w:tc>
          <w:tcPr>
            <w:tcW w:type="dxa" w:w="2448"/>
          </w:tcPr>
          <w:p>
            <w:r/>
            <w:r>
              <w:rPr>
                <w:b w:val="0"/>
                <w:sz w:val="20"/>
              </w:rPr>
              <w:t>Private &amp; protected uploads</w:t>
            </w:r>
          </w:p>
        </w:tc>
        <w:tc>
          <w:tcPr>
            <w:tcW w:type="dxa" w:w="6336"/>
          </w:tcPr>
          <w:p>
            <w:r/>
            <w:r>
              <w:rPr>
                <w:b w:val="0"/>
                <w:sz w:val="20"/>
              </w:rPr>
              <w:t>Always ingest-only — never written to local disk.</w:t>
            </w:r>
          </w:p>
        </w:tc>
      </w:tr>
    </w:tbl>
    <w:p>
      <w:pPr>
        <w:ind w:left="216"/>
      </w:pPr>
      <w:r>
        <w:rPr>
          <w:b/>
          <w:color w:val="7C3AED"/>
        </w:rPr>
        <w:t xml:space="preserve">▍ </w:t>
      </w:r>
      <w:r>
        <w:rPr>
          <w:sz w:val="20"/>
        </w:rPr>
        <w:t>Three inputs still needed before build: (a) who holds the BAYI_ADMIN_READ break-glass role and how its use is logged/reviewed; (b) confirmation of the Snowflake mechanism that carries the caller identity + group flag into the session for the row-access policy to read; (c) the exact group claim SharePoint/M365 surfaces (name vs. object-id) so PROTECTED_GROUP / GROUPS_HEADER map onto it.</w:t>
      </w:r>
    </w:p>
    <w:p>
      <w:r>
        <w:rPr>
          <w:color w:val="6B6480"/>
          <w:sz w:val="20"/>
        </w:rPr>
        <w:t>Design artifact only. The build order is: least-privilege Snowflake roles (BAYI_READ, BAYI_ADMIN_READ, BAYI_INGEST_WRITE) + SENSITIVITY and INGESTED_BY columns + row policy → Easy Auth identity + group wiring → the sensitivity selector (Shared / Private / Protected, forcing ingest-only, server-stamped owner, group-gated protected) → per-request session binding of identity and group flag at query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