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10" name="image2.png"/>
            <a:graphic>
              <a:graphicData uri="http://schemas.openxmlformats.org/drawingml/2006/picture">
                <pic:pic>
                  <pic:nvPicPr>
                    <pic:cNvPr descr="horizontal line" id="0" name="image2.png"/>
                    <pic:cNvPicPr preferRelativeResize="0"/>
                  </pic:nvPicPr>
                  <pic:blipFill>
                    <a:blip r:embed="rId7"/>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bookmarkStart w:colFirst="0" w:colLast="0" w:name="_heading=h.rxpr6ry2rxwp" w:id="0"/>
      <w:bookmarkEnd w:id="0"/>
      <w:r w:rsidDel="00000000" w:rsidR="00000000" w:rsidRPr="00000000">
        <w:rPr>
          <w:rtl w:val="0"/>
        </w:rPr>
        <w:t xml:space="preserve">Presented by Atharv Tambe </w:t>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sh2ad0g9ags2" w:id="1"/>
      <w:bookmarkEnd w:id="1"/>
      <w:r w:rsidDel="00000000" w:rsidR="00000000" w:rsidRPr="00000000">
        <w:rPr>
          <w:b w:val="1"/>
          <w:bCs w:val="1"/>
          <w:color w:val="000000"/>
          <w:rtl w:val="0"/>
        </w:rPr>
        <w:t xml:space="preserve">Transformer Accessories…</w:t>
      </w:r>
      <w:r w:rsidDel="00000000" w:rsidR="00000000" w:rsidRPr="00000000">
        <w:rPr>
          <w:b w:val="1"/>
          <w:bCs w:val="1"/>
          <w:rtl w:val="0"/>
        </w:rPr>
        <w:t xml:space="preserve"> </w:t>
      </w:r>
      <w:r w:rsidDel="00000000" w:rsidR="00000000" w:rsidRPr="00000000">
        <w:rPr>
          <w:rtl w:val="0"/>
        </w:rPr>
      </w:r>
    </w:p>
    <w:sdt>
      <w:sdtPr>
        <w:id w:val="-228871768"/>
        <w:docPartObj>
          <w:docPartGallery w:val="Table of Contents"/>
          <w:docPartUnique w:val="1"/>
        </w:docPartObj>
      </w:sdtPr>
      <w:sdtContent>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9360"/>
            </w:tabs>
            <w:spacing w:after="80" w:before="6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heading=h.x9rb33vjj555" w:id="2"/>
      <w:bookmarkEnd w:id="2"/>
      <w:r w:rsidDel="00000000" w:rsidR="00000000" w:rsidRPr="00000000">
        <w:rPr>
          <w:rtl w:val="0"/>
        </w:rPr>
      </w:r>
    </w:p>
    <w:p w:rsidR="00000000" w:rsidDel="00000000" w:rsidP="00000000" w:rsidRDefault="00000000" w:rsidRPr="00000000" w14:paraId="0000000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heading=h.8ifk2ghtu5qc" w:id="3"/>
      <w:bookmarkEnd w:id="3"/>
      <w:r w:rsidDel="00000000" w:rsidR="00000000" w:rsidRPr="00000000">
        <w:rPr>
          <w:rtl w:val="0"/>
        </w:rPr>
        <w:t xml:space="preserve">Common Transformer Accessories and Their Meanings :</w:t>
      </w:r>
    </w:p>
    <w:p w:rsidR="00000000" w:rsidDel="00000000" w:rsidP="00000000" w:rsidRDefault="00000000" w:rsidRPr="00000000" w14:paraId="00000007">
      <w:pPr>
        <w:pageBreakBefore w:val="0"/>
        <w:numPr>
          <w:ilvl w:val="0"/>
          <w:numId w:val="13"/>
        </w:numPr>
        <w:pBdr>
          <w:top w:space="0" w:sz="0" w:val="nil"/>
          <w:left w:space="0" w:sz="0" w:val="nil"/>
          <w:bottom w:space="0" w:sz="0" w:val="nil"/>
          <w:right w:space="0" w:sz="0" w:val="nil"/>
          <w:between w:space="0" w:sz="0" w:val="nil"/>
        </w:pBdr>
        <w:shd w:fill="auto" w:val="clear"/>
        <w:spacing w:after="200" w:lineRule="auto"/>
        <w:ind w:left="720" w:hanging="360"/>
        <w:rPr>
          <w:b w:val="1"/>
          <w:bCs w:val="1"/>
          <w:color w:val="000000"/>
        </w:rPr>
      </w:pPr>
      <w:r w:rsidDel="00000000" w:rsidR="00000000" w:rsidRPr="00000000">
        <w:rPr>
          <w:b w:val="1"/>
          <w:bCs w:val="1"/>
          <w:color w:val="000000"/>
          <w:rtl w:val="0"/>
        </w:rPr>
        <w:t xml:space="preserve">Buchholz Relay :</w:t>
      </w:r>
      <w:r w:rsidDel="00000000" w:rsidR="00000000" w:rsidRPr="00000000">
        <w:rPr>
          <w:rtl w:val="0"/>
        </w:rPr>
      </w:r>
    </w:p>
    <w:p w:rsidR="00000000" w:rsidDel="00000000" w:rsidP="00000000" w:rsidRDefault="00000000" w:rsidRPr="00000000" w14:paraId="00000008">
      <w:pPr>
        <w:spacing w:after="200" w:lineRule="auto"/>
        <w:ind w:left="720" w:firstLine="0"/>
        <w:rPr>
          <w:b w:val="1"/>
          <w:bCs w:val="1"/>
          <w:color w:val="000000"/>
        </w:rPr>
      </w:pPr>
      <w:r w:rsidDel="00000000" w:rsidR="00000000" w:rsidRPr="00000000">
        <w:rPr>
          <w:b w:val="1"/>
          <w:bCs w:val="1"/>
          <w:rtl w:val="0"/>
        </w:rPr>
        <w:tab/>
      </w:r>
      <w:r w:rsidDel="00000000" w:rsidR="00000000" w:rsidRPr="00000000">
        <w:rPr>
          <w:b w:val="1"/>
          <w:bCs w:val="1"/>
          <w:color w:val="000000"/>
          <w:rtl w:val="0"/>
        </w:rPr>
        <w:t xml:space="preserve">A safety device that detects internal faults (like oil leaks or gas formation) in oil-filled transformers and triggers an alarm or disconnect switch.</w:t>
      </w:r>
    </w:p>
    <w:p w:rsidR="00000000" w:rsidDel="00000000" w:rsidP="00000000" w:rsidRDefault="00000000" w:rsidRPr="00000000" w14:paraId="00000009">
      <w:pPr>
        <w:numPr>
          <w:ilvl w:val="0"/>
          <w:numId w:val="17"/>
        </w:numPr>
        <w:spacing w:after="200" w:lineRule="auto"/>
        <w:ind w:left="720" w:hanging="360"/>
        <w:rPr>
          <w:b w:val="1"/>
          <w:bCs w:val="1"/>
          <w:color w:val="000000"/>
        </w:rPr>
      </w:pPr>
      <w:r w:rsidDel="00000000" w:rsidR="00000000" w:rsidRPr="00000000">
        <w:rPr>
          <w:rFonts w:ascii="Arial" w:cs="Arial" w:eastAsia="Arial" w:hAnsi="Arial"/>
          <w:b w:val="1"/>
          <w:bCs w:val="1"/>
          <w:color w:val="000000"/>
          <w:sz w:val="21"/>
          <w:szCs w:val="21"/>
          <w:rtl w:val="0"/>
        </w:rPr>
        <w:t xml:space="preserve">Breather :</w:t>
      </w:r>
      <w:r w:rsidDel="00000000" w:rsidR="00000000" w:rsidRPr="00000000">
        <w:rPr>
          <w:rtl w:val="0"/>
        </w:rPr>
      </w:r>
    </w:p>
    <w:p w:rsidR="00000000" w:rsidDel="00000000" w:rsidP="00000000" w:rsidRDefault="00000000" w:rsidRPr="00000000" w14:paraId="0000000A">
      <w:pPr>
        <w:spacing w:after="200" w:lineRule="auto"/>
        <w:ind w:left="72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ab/>
        <w:t xml:space="preserve">A device containing a drying agent (usually silica gel) that absorbs moisture from the air entering the conservator tank as the oil level fluctuates.</w:t>
      </w:r>
    </w:p>
    <w:p w:rsidR="00000000" w:rsidDel="00000000" w:rsidP="00000000" w:rsidRDefault="00000000" w:rsidRPr="00000000" w14:paraId="0000000B">
      <w:pPr>
        <w:numPr>
          <w:ilvl w:val="0"/>
          <w:numId w:val="16"/>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Conservator Tank :</w:t>
      </w:r>
      <w:r w:rsidDel="00000000" w:rsidR="00000000" w:rsidRPr="00000000">
        <w:rPr>
          <w:rtl w:val="0"/>
        </w:rPr>
      </w:r>
    </w:p>
    <w:p w:rsidR="00000000" w:rsidDel="00000000" w:rsidP="00000000" w:rsidRDefault="00000000" w:rsidRPr="00000000" w14:paraId="0000000C">
      <w:pPr>
        <w:spacing w:after="200" w:lineRule="auto"/>
        <w:ind w:left="72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 storage tank mounted above the main tank provides space for the insulating oil to expand and contract with temperature changes, preventing excessive pressure buildup.</w:t>
      </w:r>
    </w:p>
    <w:p w:rsidR="00000000" w:rsidDel="00000000" w:rsidP="00000000" w:rsidRDefault="00000000" w:rsidRPr="00000000" w14:paraId="0000000D">
      <w:pPr>
        <w:numPr>
          <w:ilvl w:val="0"/>
          <w:numId w:val="9"/>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Cooling Fans/Systems :</w:t>
      </w:r>
      <w:r w:rsidDel="00000000" w:rsidR="00000000" w:rsidRPr="00000000">
        <w:rPr>
          <w:rtl w:val="0"/>
        </w:rPr>
      </w:r>
    </w:p>
    <w:p w:rsidR="00000000" w:rsidDel="00000000" w:rsidP="00000000" w:rsidRDefault="00000000" w:rsidRPr="00000000" w14:paraId="0000000E">
      <w:pPr>
        <w:spacing w:after="200" w:lineRule="auto"/>
        <w:ind w:left="72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Fans, pumps, and radiators used to dissipate heat generated during operation, keeping the transformer within a safe temperature range.</w:t>
      </w:r>
    </w:p>
    <w:p w:rsidR="00000000" w:rsidDel="00000000" w:rsidP="00000000" w:rsidRDefault="00000000" w:rsidRPr="00000000" w14:paraId="0000000F">
      <w:pPr>
        <w:numPr>
          <w:ilvl w:val="0"/>
          <w:numId w:val="12"/>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Gauges (Oil Level, Temperature, Pressure) :</w:t>
      </w:r>
      <w:r w:rsidDel="00000000" w:rsidR="00000000" w:rsidRPr="00000000">
        <w:rPr>
          <w:rtl w:val="0"/>
        </w:rPr>
      </w:r>
    </w:p>
    <w:p w:rsidR="00000000" w:rsidDel="00000000" w:rsidP="00000000" w:rsidRDefault="00000000" w:rsidRPr="00000000" w14:paraId="00000010">
      <w:pPr>
        <w:spacing w:after="200" w:lineRule="auto"/>
        <w:ind w:left="72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Instruments used to monitor critical operating conditions like the level of the insulating oil, the temperature of the oil and windings, and the internal pressure of the tank.</w:t>
      </w:r>
    </w:p>
    <w:p w:rsidR="00000000" w:rsidDel="00000000" w:rsidP="00000000" w:rsidRDefault="00000000" w:rsidRPr="00000000" w14:paraId="00000011">
      <w:pPr>
        <w:numPr>
          <w:ilvl w:val="0"/>
          <w:numId w:val="10"/>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Bushings :</w:t>
      </w:r>
      <w:r w:rsidDel="00000000" w:rsidR="00000000" w:rsidRPr="00000000">
        <w:rPr>
          <w:rtl w:val="0"/>
        </w:rPr>
      </w:r>
    </w:p>
    <w:p w:rsidR="00000000" w:rsidDel="00000000" w:rsidP="00000000" w:rsidRDefault="00000000" w:rsidRPr="00000000" w14:paraId="00000012">
      <w:pPr>
        <w:spacing w:after="200" w:lineRule="auto"/>
        <w:ind w:left="72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Insulated terminals that allow the electrical connections to pass safely through the grounded transformer tank wall without making electrical contact with it.</w:t>
      </w:r>
    </w:p>
    <w:p w:rsidR="00000000" w:rsidDel="00000000" w:rsidP="00000000" w:rsidRDefault="00000000" w:rsidRPr="00000000" w14:paraId="00000013">
      <w:pPr>
        <w:numPr>
          <w:ilvl w:val="0"/>
          <w:numId w:val="6"/>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Tap Changer :</w:t>
      </w:r>
      <w:r w:rsidDel="00000000" w:rsidR="00000000" w:rsidRPr="00000000">
        <w:rPr>
          <w:rtl w:val="0"/>
        </w:rPr>
      </w:r>
    </w:p>
    <w:p w:rsidR="00000000" w:rsidDel="00000000" w:rsidP="00000000" w:rsidRDefault="00000000" w:rsidRPr="00000000" w14:paraId="00000014">
      <w:pPr>
        <w:spacing w:after="200" w:lineRule="auto"/>
        <w:ind w:left="72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 mechanism (either de-energized or on-load) used to adjust the voltage ratio of the transformer by changing the number of winding turns to maintain the correct secondary voltage.</w:t>
      </w:r>
    </w:p>
    <w:p w:rsidR="00000000" w:rsidDel="00000000" w:rsidP="00000000" w:rsidRDefault="00000000" w:rsidRPr="00000000" w14:paraId="00000015">
      <w:pPr>
        <w:numPr>
          <w:ilvl w:val="0"/>
          <w:numId w:val="11"/>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Pressure Relief Device :</w:t>
      </w:r>
    </w:p>
    <w:p w:rsidR="00000000" w:rsidDel="00000000" w:rsidP="00000000" w:rsidRDefault="00000000" w:rsidRPr="00000000" w14:paraId="00000016">
      <w:pPr>
        <w:spacing w:after="200" w:lineRule="auto"/>
        <w:ind w:left="72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 safety mechanism designed to release excess pressure from within the tank in abnormal conditions, preventing a rupture or explosion.</w:t>
      </w:r>
    </w:p>
    <w:p w:rsidR="00000000" w:rsidDel="00000000" w:rsidP="00000000" w:rsidRDefault="00000000" w:rsidRPr="00000000" w14:paraId="00000017">
      <w:pPr>
        <w:numPr>
          <w:ilvl w:val="0"/>
          <w:numId w:val="1"/>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Lightning Arresters :</w:t>
      </w:r>
      <w:r w:rsidDel="00000000" w:rsidR="00000000" w:rsidRPr="00000000">
        <w:rPr>
          <w:rtl w:val="0"/>
        </w:rPr>
      </w:r>
    </w:p>
    <w:p w:rsidR="00000000" w:rsidDel="00000000" w:rsidP="00000000" w:rsidRDefault="00000000" w:rsidRPr="00000000" w14:paraId="00000018">
      <w:pPr>
        <w:spacing w:after="200" w:lineRule="auto"/>
        <w:ind w:left="720" w:firstLine="0"/>
        <w:rPr>
          <w:b w:val="1"/>
          <w:bCs w:val="1"/>
          <w:color w:val="000000"/>
        </w:rPr>
      </w:pPr>
      <w:r w:rsidDel="00000000" w:rsidR="00000000" w:rsidRPr="00000000">
        <w:rPr>
          <w:rFonts w:ascii="Arial" w:cs="Arial" w:eastAsia="Arial" w:hAnsi="Arial"/>
          <w:b w:val="1"/>
          <w:bCs w:val="1"/>
          <w:color w:val="000000"/>
          <w:sz w:val="21"/>
          <w:szCs w:val="21"/>
          <w:rtl w:val="0"/>
        </w:rPr>
        <w:t xml:space="preserve">Devices that protect the transformer from high voltage surges caused by lightning strikes by diverting the excess current to the ground.</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00" w:lineRule="auto"/>
        <w:ind w:left="0" w:firstLine="0"/>
        <w:rPr>
          <w:color w:val="000000"/>
        </w:rPr>
      </w:pPr>
      <w:r w:rsidDel="00000000" w:rsidR="00000000" w:rsidRPr="00000000">
        <w:rPr>
          <w:rtl w:val="0"/>
        </w:rPr>
      </w:r>
    </w:p>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heading=h.9sf6wnxkhzs" w:id="4"/>
      <w:bookmarkEnd w:id="4"/>
      <w:r w:rsidDel="00000000" w:rsidR="00000000" w:rsidRPr="00000000">
        <w:rPr>
          <w:rtl w:val="0"/>
        </w:rPr>
        <w:t xml:space="preserve">Application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heading=h.50y1zz28233" w:id="5"/>
      <w:bookmarkEnd w:id="5"/>
      <w:r w:rsidDel="00000000" w:rsidR="00000000" w:rsidRPr="00000000">
        <w:rPr>
          <w:rtl w:val="0"/>
        </w:rPr>
        <w:t xml:space="preserve">Diagram :</w:t>
      </w:r>
    </w:p>
    <w:p w:rsidR="00000000" w:rsidDel="00000000" w:rsidP="00000000" w:rsidRDefault="00000000" w:rsidRPr="00000000" w14:paraId="0000001D">
      <w:pPr>
        <w:numPr>
          <w:ilvl w:val="0"/>
          <w:numId w:val="14"/>
        </w:numPr>
        <w:spacing w:after="200" w:lineRule="auto"/>
        <w:ind w:left="720" w:hanging="360"/>
        <w:rPr/>
      </w:pPr>
      <w:r w:rsidDel="00000000" w:rsidR="00000000" w:rsidRPr="00000000">
        <w:rPr>
          <w:b w:val="1"/>
          <w:bCs w:val="1"/>
          <w:rtl w:val="0"/>
        </w:rPr>
        <w:t xml:space="preserve">Buchholz Relay :</w:t>
      </w:r>
      <w:r w:rsidDel="00000000" w:rsidR="00000000" w:rsidRPr="00000000">
        <w:rPr>
          <w:rtl w:val="0"/>
        </w:rPr>
      </w:r>
    </w:p>
    <w:p w:rsidR="00000000" w:rsidDel="00000000" w:rsidP="00000000" w:rsidRDefault="00000000" w:rsidRPr="00000000" w14:paraId="0000001E">
      <w:pPr>
        <w:spacing w:after="200" w:lineRule="auto"/>
        <w:ind w:left="720" w:firstLine="0"/>
        <w:rPr>
          <w:b w:val="1"/>
          <w:bCs w:val="1"/>
        </w:rPr>
      </w:pPr>
      <w:r w:rsidDel="00000000" w:rsidR="00000000" w:rsidRPr="00000000">
        <w:rPr>
          <w:rtl w:val="0"/>
        </w:rPr>
      </w:r>
    </w:p>
    <w:p w:rsidR="00000000" w:rsidDel="00000000" w:rsidP="00000000" w:rsidRDefault="00000000" w:rsidRPr="00000000" w14:paraId="0000001F">
      <w:pPr>
        <w:spacing w:after="200" w:lineRule="auto"/>
        <w:ind w:left="720" w:firstLine="0"/>
        <w:rPr>
          <w:b w:val="1"/>
          <w:bCs w:val="1"/>
        </w:rPr>
      </w:pPr>
      <w:r w:rsidDel="00000000" w:rsidR="00000000" w:rsidRPr="00000000">
        <w:rPr>
          <w:b w:val="1"/>
          <w:bCs w:val="1"/>
        </w:rPr>
        <w:drawing>
          <wp:inline distB="114300" distT="114300" distL="114300" distR="114300">
            <wp:extent cx="5943600" cy="3403600"/>
            <wp:effectExtent b="0" l="0" r="0" t="0"/>
            <wp:docPr id="1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4"/>
        </w:numPr>
        <w:spacing w:after="200" w:lineRule="auto"/>
        <w:ind w:left="720" w:hanging="360"/>
        <w:rPr>
          <w:b w:val="1"/>
          <w:bCs w:val="1"/>
          <w:color w:val="000000"/>
        </w:rPr>
      </w:pPr>
      <w:r w:rsidDel="00000000" w:rsidR="00000000" w:rsidRPr="00000000">
        <w:rPr>
          <w:rFonts w:ascii="Arial" w:cs="Arial" w:eastAsia="Arial" w:hAnsi="Arial"/>
          <w:b w:val="1"/>
          <w:bCs w:val="1"/>
          <w:color w:val="000000"/>
          <w:sz w:val="21"/>
          <w:szCs w:val="21"/>
          <w:rtl w:val="0"/>
        </w:rPr>
        <w:t xml:space="preserve">Breather :</w:t>
      </w:r>
      <w:r w:rsidDel="00000000" w:rsidR="00000000" w:rsidRPr="00000000">
        <w:rPr>
          <w:rtl w:val="0"/>
        </w:rPr>
      </w:r>
    </w:p>
    <w:p w:rsidR="00000000" w:rsidDel="00000000" w:rsidP="00000000" w:rsidRDefault="00000000" w:rsidRPr="00000000" w14:paraId="00000021">
      <w:pPr>
        <w:spacing w:after="200" w:lineRule="auto"/>
        <w:ind w:left="720" w:firstLine="0"/>
        <w:rPr>
          <w:rFonts w:ascii="Arial" w:cs="Arial" w:eastAsia="Arial" w:hAnsi="Arial"/>
          <w:b w:val="1"/>
          <w:bCs w:val="1"/>
          <w:color w:val="e6e8f0"/>
          <w:sz w:val="21"/>
          <w:szCs w:val="21"/>
        </w:rPr>
      </w:pPr>
      <w:r w:rsidDel="00000000" w:rsidR="00000000" w:rsidRPr="00000000">
        <w:rPr>
          <w:rFonts w:ascii="Arial" w:cs="Arial" w:eastAsia="Arial" w:hAnsi="Arial"/>
          <w:b w:val="1"/>
          <w:bCs w:val="1"/>
          <w:color w:val="e6e8f0"/>
          <w:sz w:val="21"/>
          <w:szCs w:val="21"/>
        </w:rPr>
        <w:drawing>
          <wp:inline distB="114300" distT="114300" distL="114300" distR="114300">
            <wp:extent cx="5943600" cy="4457700"/>
            <wp:effectExtent b="0" l="0" r="0" t="0"/>
            <wp:docPr id="11"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5"/>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Conservator Tank :</w:t>
      </w:r>
    </w:p>
    <w:p w:rsidR="00000000" w:rsidDel="00000000" w:rsidP="00000000" w:rsidRDefault="00000000" w:rsidRPr="00000000" w14:paraId="00000023">
      <w:pPr>
        <w:spacing w:after="200" w:lineRule="auto"/>
        <w:ind w:left="720" w:firstLine="0"/>
        <w:rPr>
          <w:rFonts w:ascii="Arial" w:cs="Arial" w:eastAsia="Arial" w:hAnsi="Arial"/>
          <w:b w:val="1"/>
          <w:bCs w:val="1"/>
          <w:color w:val="e6e8f0"/>
          <w:sz w:val="21"/>
          <w:szCs w:val="21"/>
        </w:rPr>
      </w:pPr>
      <w:r w:rsidDel="00000000" w:rsidR="00000000" w:rsidRPr="00000000">
        <w:rPr>
          <w:rFonts w:ascii="Arial" w:cs="Arial" w:eastAsia="Arial" w:hAnsi="Arial"/>
          <w:b w:val="1"/>
          <w:bCs w:val="1"/>
          <w:color w:val="e6e8f0"/>
          <w:sz w:val="21"/>
          <w:szCs w:val="21"/>
        </w:rPr>
        <w:drawing>
          <wp:inline distB="114300" distT="114300" distL="114300" distR="114300">
            <wp:extent cx="5943600" cy="35687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5"/>
        </w:numPr>
        <w:spacing w:after="200" w:lineRule="auto"/>
        <w:ind w:left="720" w:hanging="360"/>
        <w:rPr>
          <w:rFonts w:ascii="Arial" w:cs="Arial" w:eastAsia="Arial" w:hAnsi="Arial"/>
          <w:b w:val="1"/>
          <w:bCs w:val="1"/>
          <w:color w:val="e6e8f0"/>
          <w:sz w:val="21"/>
          <w:szCs w:val="21"/>
        </w:rPr>
      </w:pPr>
      <w:r w:rsidDel="00000000" w:rsidR="00000000" w:rsidRPr="00000000">
        <w:rPr>
          <w:rFonts w:ascii="Arial" w:cs="Arial" w:eastAsia="Arial" w:hAnsi="Arial"/>
          <w:b w:val="1"/>
          <w:bCs w:val="1"/>
          <w:color w:val="000000"/>
          <w:sz w:val="21"/>
          <w:szCs w:val="21"/>
          <w:rtl w:val="0"/>
        </w:rPr>
        <w:t xml:space="preserve">Cooling Fans/Systems</w:t>
      </w:r>
      <w:r w:rsidDel="00000000" w:rsidR="00000000" w:rsidRPr="00000000">
        <w:rPr>
          <w:rFonts w:ascii="Arial" w:cs="Arial" w:eastAsia="Arial" w:hAnsi="Arial"/>
          <w:b w:val="1"/>
          <w:bCs w:val="1"/>
          <w:color w:val="e6e8f0"/>
          <w:sz w:val="21"/>
          <w:szCs w:val="21"/>
          <w:rtl w:val="0"/>
        </w:rPr>
        <w:t xml:space="preserve"> :</w:t>
      </w:r>
    </w:p>
    <w:p w:rsidR="00000000" w:rsidDel="00000000" w:rsidP="00000000" w:rsidRDefault="00000000" w:rsidRPr="00000000" w14:paraId="00000025">
      <w:pPr>
        <w:spacing w:after="200" w:lineRule="auto"/>
        <w:ind w:left="720" w:firstLine="0"/>
        <w:rPr>
          <w:rFonts w:ascii="Arial" w:cs="Arial" w:eastAsia="Arial" w:hAnsi="Arial"/>
          <w:b w:val="1"/>
          <w:bCs w:val="1"/>
          <w:color w:val="e6e8f0"/>
          <w:sz w:val="21"/>
          <w:szCs w:val="21"/>
        </w:rPr>
      </w:pPr>
      <w:r w:rsidDel="00000000" w:rsidR="00000000" w:rsidRPr="00000000">
        <w:rPr>
          <w:rFonts w:ascii="Arial" w:cs="Arial" w:eastAsia="Arial" w:hAnsi="Arial"/>
          <w:b w:val="1"/>
          <w:bCs w:val="1"/>
          <w:color w:val="e6e8f0"/>
          <w:sz w:val="21"/>
          <w:szCs w:val="21"/>
        </w:rPr>
        <w:drawing>
          <wp:inline distB="114300" distT="114300" distL="114300" distR="114300">
            <wp:extent cx="5943600" cy="3568700"/>
            <wp:effectExtent b="0" l="0" r="0" t="0"/>
            <wp:docPr id="1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8"/>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Bushings :</w:t>
      </w:r>
    </w:p>
    <w:p w:rsidR="00000000" w:rsidDel="00000000" w:rsidP="00000000" w:rsidRDefault="00000000" w:rsidRPr="00000000" w14:paraId="00000027">
      <w:pPr>
        <w:spacing w:after="200" w:lineRule="auto"/>
        <w:ind w:left="720" w:firstLine="0"/>
        <w:rPr>
          <w:rFonts w:ascii="Arial" w:cs="Arial" w:eastAsia="Arial" w:hAnsi="Arial"/>
          <w:b w:val="1"/>
          <w:bCs w:val="1"/>
          <w:color w:val="e6e8f0"/>
          <w:sz w:val="21"/>
          <w:szCs w:val="21"/>
        </w:rPr>
      </w:pPr>
      <w:r w:rsidDel="00000000" w:rsidR="00000000" w:rsidRPr="00000000">
        <w:rPr>
          <w:rFonts w:ascii="Arial" w:cs="Arial" w:eastAsia="Arial" w:hAnsi="Arial"/>
          <w:b w:val="1"/>
          <w:bCs w:val="1"/>
          <w:color w:val="e6e8f0"/>
          <w:sz w:val="21"/>
          <w:szCs w:val="21"/>
        </w:rPr>
        <w:drawing>
          <wp:inline distB="114300" distT="114300" distL="114300" distR="114300">
            <wp:extent cx="5943600" cy="43815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2"/>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Pressure Relief Device :</w:t>
      </w:r>
    </w:p>
    <w:p w:rsidR="00000000" w:rsidDel="00000000" w:rsidP="00000000" w:rsidRDefault="00000000" w:rsidRPr="00000000" w14:paraId="00000029">
      <w:pPr>
        <w:spacing w:after="200" w:lineRule="auto"/>
        <w:ind w:left="720" w:firstLine="0"/>
        <w:rPr>
          <w:rFonts w:ascii="Arial" w:cs="Arial" w:eastAsia="Arial" w:hAnsi="Arial"/>
          <w:b w:val="1"/>
          <w:bCs w:val="1"/>
          <w:color w:val="e6e8f0"/>
          <w:sz w:val="21"/>
          <w:szCs w:val="21"/>
        </w:rPr>
      </w:pPr>
      <w:r w:rsidDel="00000000" w:rsidR="00000000" w:rsidRPr="00000000">
        <w:rPr>
          <w:rFonts w:ascii="Arial" w:cs="Arial" w:eastAsia="Arial" w:hAnsi="Arial"/>
          <w:b w:val="1"/>
          <w:bCs w:val="1"/>
          <w:color w:val="e6e8f0"/>
          <w:sz w:val="21"/>
          <w:szCs w:val="21"/>
        </w:rPr>
        <w:drawing>
          <wp:inline distB="114300" distT="114300" distL="114300" distR="114300">
            <wp:extent cx="5943600" cy="4457700"/>
            <wp:effectExtent b="0" l="0" r="0" t="0"/>
            <wp:docPr id="1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3"/>
        </w:numPr>
        <w:spacing w:after="200" w:lineRule="auto"/>
        <w:ind w:left="720" w:hanging="3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Lightning Arresters :</w:t>
      </w:r>
    </w:p>
    <w:p w:rsidR="00000000" w:rsidDel="00000000" w:rsidP="00000000" w:rsidRDefault="00000000" w:rsidRPr="00000000" w14:paraId="0000002B">
      <w:pPr>
        <w:spacing w:after="200" w:lineRule="auto"/>
        <w:ind w:left="720" w:firstLine="0"/>
        <w:rPr>
          <w:rFonts w:ascii="Arial" w:cs="Arial" w:eastAsia="Arial" w:hAnsi="Arial"/>
          <w:b w:val="1"/>
          <w:bCs w:val="1"/>
          <w:color w:val="e6e8f0"/>
          <w:sz w:val="21"/>
          <w:szCs w:val="21"/>
        </w:rPr>
      </w:pPr>
      <w:r w:rsidDel="00000000" w:rsidR="00000000" w:rsidRPr="00000000">
        <w:rPr>
          <w:rFonts w:ascii="Arial" w:cs="Arial" w:eastAsia="Arial" w:hAnsi="Arial"/>
          <w:b w:val="1"/>
          <w:bCs w:val="1"/>
          <w:color w:val="e6e8f0"/>
          <w:sz w:val="21"/>
          <w:szCs w:val="21"/>
        </w:rPr>
        <w:drawing>
          <wp:inline distB="114300" distT="114300" distL="114300" distR="114300">
            <wp:extent cx="5124450" cy="3619500"/>
            <wp:effectExtent b="0" l="0" r="0" t="0"/>
            <wp:docPr id="18"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1244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Rule="auto"/>
        <w:ind w:left="720" w:firstLine="0"/>
        <w:rPr>
          <w:rFonts w:ascii="Arial" w:cs="Arial" w:eastAsia="Arial" w:hAnsi="Arial"/>
          <w:b w:val="1"/>
          <w:bCs w:val="1"/>
          <w:color w:val="e6e8f0"/>
          <w:sz w:val="21"/>
          <w:szCs w:val="21"/>
        </w:rPr>
      </w:pPr>
      <w:r w:rsidDel="00000000" w:rsidR="00000000" w:rsidRPr="00000000">
        <w:rPr>
          <w:rtl w:val="0"/>
        </w:rPr>
      </w:r>
    </w:p>
    <w:p w:rsidR="00000000" w:rsidDel="00000000" w:rsidP="00000000" w:rsidRDefault="00000000" w:rsidRPr="00000000" w14:paraId="0000002D">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heading=h.avpnsblu8kry" w:id="6"/>
      <w:bookmarkEnd w:id="6"/>
      <w:r w:rsidDel="00000000" w:rsidR="00000000" w:rsidRPr="00000000">
        <w:rPr>
          <w:rtl w:val="0"/>
        </w:rPr>
        <w:t xml:space="preserve">ONBOARDING TASKLIST</w:t>
      </w:r>
      <w:r w:rsidDel="00000000" w:rsidR="00000000" w:rsidRPr="00000000">
        <w:rPr>
          <w:rtl w:val="0"/>
        </w:rPr>
      </w:r>
    </w:p>
    <w:p w:rsidR="00000000" w:rsidDel="00000000" w:rsidP="00000000" w:rsidRDefault="00000000" w:rsidRPr="00000000" w14:paraId="0000002E">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8"/>
          <w:szCs w:val="28"/>
        </w:rPr>
      </w:pPr>
      <w:bookmarkStart w:colFirst="0" w:colLast="0" w:name="_heading=h.1bky5x72s4si" w:id="7"/>
      <w:bookmarkEnd w:id="7"/>
      <w:r w:rsidDel="00000000" w:rsidR="00000000" w:rsidRPr="00000000">
        <w:rPr>
          <w:rtl w:val="0"/>
        </w:rPr>
        <w:t xml:space="preserve">Advantages </w:t>
      </w:r>
      <w:r w:rsidDel="00000000" w:rsidR="00000000" w:rsidRPr="00000000">
        <w:rPr>
          <w:rtl w:val="0"/>
        </w:rPr>
      </w:r>
    </w:p>
    <w:p w:rsidR="00000000" w:rsidDel="00000000" w:rsidP="00000000" w:rsidRDefault="00000000" w:rsidRPr="00000000" w14:paraId="0000002F">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Improved safety</w:t>
      </w:r>
    </w:p>
    <w:p w:rsidR="00000000" w:rsidDel="00000000" w:rsidP="00000000" w:rsidRDefault="00000000" w:rsidRPr="00000000" w14:paraId="00000030">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Enhanced performance</w:t>
      </w:r>
    </w:p>
    <w:p w:rsidR="00000000" w:rsidDel="00000000" w:rsidP="00000000" w:rsidRDefault="00000000" w:rsidRPr="00000000" w14:paraId="00000031">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Increased versatility</w:t>
      </w:r>
      <w:r w:rsidDel="00000000" w:rsidR="00000000" w:rsidRPr="00000000">
        <w:rPr>
          <w:rtl w:val="0"/>
        </w:rPr>
      </w:r>
    </w:p>
    <w:p w:rsidR="00000000" w:rsidDel="00000000" w:rsidP="00000000" w:rsidRDefault="00000000" w:rsidRPr="00000000" w14:paraId="00000032">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Extended lifespan</w:t>
      </w:r>
      <w:r w:rsidDel="00000000" w:rsidR="00000000" w:rsidRPr="00000000">
        <w:rPr>
          <w:rtl w:val="0"/>
        </w:rPr>
      </w:r>
    </w:p>
    <w:p w:rsidR="00000000" w:rsidDel="00000000" w:rsidP="00000000" w:rsidRDefault="00000000" w:rsidRPr="00000000" w14:paraId="0000003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heading=h.epl3oywxknkd" w:id="8"/>
      <w:bookmarkEnd w:id="8"/>
      <w:r w:rsidDel="00000000" w:rsidR="00000000" w:rsidRPr="00000000">
        <w:rPr>
          <w:rtl w:val="0"/>
        </w:rPr>
        <w:t xml:space="preserve">Disadvantages </w:t>
      </w:r>
    </w:p>
    <w:p w:rsidR="00000000" w:rsidDel="00000000" w:rsidP="00000000" w:rsidRDefault="00000000" w:rsidRPr="00000000" w14:paraId="00000034">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Higher costs</w:t>
      </w:r>
    </w:p>
    <w:p w:rsidR="00000000" w:rsidDel="00000000" w:rsidP="00000000" w:rsidRDefault="00000000" w:rsidRPr="00000000" w14:paraId="00000035">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Increased complexity</w:t>
      </w:r>
    </w:p>
    <w:p w:rsidR="00000000" w:rsidDel="00000000" w:rsidP="00000000" w:rsidRDefault="00000000" w:rsidRPr="00000000" w14:paraId="00000036">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Increased Maintenance </w:t>
      </w:r>
      <w:r w:rsidDel="00000000" w:rsidR="00000000" w:rsidRPr="00000000">
        <w:rPr>
          <w:rtl w:val="0"/>
        </w:rPr>
      </w:r>
    </w:p>
    <w:p w:rsidR="00000000" w:rsidDel="00000000" w:rsidP="00000000" w:rsidRDefault="00000000" w:rsidRPr="00000000" w14:paraId="00000037">
      <w:pPr>
        <w:pageBreakBefore w:val="0"/>
        <w:numPr>
          <w:ilvl w:val="0"/>
          <w:numId w:val="7"/>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Increased in size and weight </w:t>
      </w:r>
      <w:r w:rsidDel="00000000" w:rsidR="00000000" w:rsidRPr="00000000">
        <w:rPr>
          <w:rtl w:val="0"/>
        </w:rPr>
      </w:r>
    </w:p>
    <w:p w:rsidR="00000000" w:rsidDel="00000000" w:rsidP="00000000" w:rsidRDefault="00000000" w:rsidRPr="00000000" w14:paraId="0000003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heading=h.atgusvtiug04" w:id="9"/>
      <w:bookmarkEnd w:id="9"/>
      <w:r w:rsidDel="00000000" w:rsidR="00000000" w:rsidRPr="00000000">
        <w:rPr>
          <w:rtl w:val="0"/>
        </w:rPr>
        <w:t xml:space="preserve">Conclusion :</w:t>
      </w:r>
    </w:p>
    <w:p w:rsidR="00000000" w:rsidDel="00000000" w:rsidP="00000000" w:rsidRDefault="00000000" w:rsidRPr="00000000" w14:paraId="00000039">
      <w:pPr>
        <w:rPr>
          <w:color w:val="000000"/>
        </w:rPr>
      </w:pPr>
      <w:r w:rsidDel="00000000" w:rsidR="00000000" w:rsidRPr="00000000">
        <w:rPr>
          <w:color w:val="000000"/>
          <w:rtl w:val="0"/>
        </w:rPr>
        <w:t xml:space="preserve">Transformer accessories are crucial for safety, reliability, and extended lifespan (e.g., Buchholz Relay, Breather). While they lead to higher cost and maintenance, their functions are indispensable for ensuring the transformer operates efficiently and safely within the power system.</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b w:val="1"/>
          <w:bCs w:val="1"/>
          <w:color w:val="000000"/>
          <w:sz w:val="24"/>
          <w:szCs w:val="24"/>
        </w:rPr>
      </w:pPr>
      <w:r w:rsidDel="00000000" w:rsidR="00000000" w:rsidRPr="00000000">
        <w:rPr>
          <w:b w:val="1"/>
          <w:bCs w:val="1"/>
          <w:color w:val="000000"/>
          <w:sz w:val="24"/>
          <w:szCs w:val="24"/>
          <w:rtl w:val="0"/>
        </w:rPr>
        <w:t xml:space="preserve">RESOURCE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Google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Gemini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Prof. B. B. Kadam sir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5" w:type="default"/>
      <w:headerReference r:id="rId16" w:type="first"/>
      <w:footerReference r:id="rId1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Proxima Nova" w:cs="Proxima Nova" w:eastAsia="Proxima Nova" w:hAnsi="Proxima Nova"/>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png"/><Relationship Id="rId13" Type="http://schemas.openxmlformats.org/officeDocument/2006/relationships/image" Target="media/image8.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header" Target="header1.xml"/><Relationship Id="rId14" Type="http://schemas.openxmlformats.org/officeDocument/2006/relationships/image" Target="media/image4.jp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sBruFuAp9JekdQyTsPn6ClF8A==">CgMxLjAyDmgucnhwcjZyeTJyeHdwMg5oLnNoMmFkMGc5YWdzMjIOaC54OXJiMzN2amo1NTUyDmguOGlmazJnaHR1NXFjMg1oLjlzZjZ3bnhraHpzMg1oLjUweTF6ejI4MjMzMg5oLmF2cG5zYmx1OGtyeTIOaC4xYmt5NXg3MnM0c2kyDmguZXBsM295d3hrbmtkMg5oLmF0Z3VzdnRpdWcwNDgAciExM2JpYlNlTnBRX0gxSDR1VW9lMjE5OU51MW9hSHZZSVo=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