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AE9A" w14:textId="77777777" w:rsidR="00FA3CC9" w:rsidRDefault="00000000">
      <w:pPr>
        <w:jc w:val="center"/>
      </w:pPr>
      <w:r>
        <w:rPr>
          <w:rFonts w:ascii="Times New Roman" w:hAnsi="Times New Roman"/>
          <w:b/>
          <w:sz w:val="36"/>
        </w:rPr>
        <w:t>Executive Summary: APL Logistics - Delivery Performance and Delay Risk Analysis</w:t>
      </w:r>
    </w:p>
    <w:p w14:paraId="0DA56023" w14:textId="77777777" w:rsidR="00FA3CC9" w:rsidRPr="00851FA2" w:rsidRDefault="00000000" w:rsidP="002D56B8">
      <w:pPr>
        <w:rPr>
          <w:b/>
          <w:bCs/>
          <w:sz w:val="24"/>
          <w:szCs w:val="24"/>
        </w:rPr>
      </w:pPr>
      <w:r w:rsidRPr="00851FA2">
        <w:rPr>
          <w:b/>
          <w:bCs/>
          <w:sz w:val="24"/>
          <w:szCs w:val="24"/>
        </w:rPr>
        <w:t>Overview</w:t>
      </w:r>
    </w:p>
    <w:p w14:paraId="1C65DD5B" w14:textId="77777777" w:rsidR="00FA3CC9" w:rsidRDefault="00000000" w:rsidP="00851FA2">
      <w:pPr>
        <w:jc w:val="both"/>
      </w:pPr>
      <w:r>
        <w:rPr>
          <w:rFonts w:ascii="Times New Roman" w:hAnsi="Times New Roman"/>
        </w:rPr>
        <w:t>This project evaluates delivery performance across APL Logistics' global fulfillment network using 180,519 validated shipment records. The objective is to identify delay exposure, compare shipping-mode effectiveness, and pinpoint the regional and market conditions that most strongly affect service reliability.</w:t>
      </w:r>
    </w:p>
    <w:p w14:paraId="0AE9C035" w14:textId="77777777" w:rsidR="00FA3CC9" w:rsidRPr="00851FA2" w:rsidRDefault="00000000" w:rsidP="002D56B8">
      <w:pPr>
        <w:rPr>
          <w:b/>
          <w:bCs/>
          <w:sz w:val="24"/>
          <w:szCs w:val="24"/>
        </w:rPr>
      </w:pPr>
      <w:r w:rsidRPr="00851FA2">
        <w:rPr>
          <w:b/>
          <w:bCs/>
          <w:sz w:val="24"/>
          <w:szCs w:val="24"/>
        </w:rPr>
        <w:t>Key Findings</w:t>
      </w:r>
    </w:p>
    <w:p w14:paraId="447F640E" w14:textId="77777777" w:rsidR="00FA3CC9" w:rsidRDefault="00000000" w:rsidP="00851FA2">
      <w:pPr>
        <w:pStyle w:val="ListBullet"/>
        <w:jc w:val="both"/>
      </w:pPr>
      <w:r>
        <w:rPr>
          <w:rFonts w:ascii="Times New Roman" w:hAnsi="Times New Roman"/>
        </w:rPr>
        <w:t>Only 42.7% of shipments were delivered on time or early, while 57.3% were delayed.</w:t>
      </w:r>
    </w:p>
    <w:p w14:paraId="662E4CC4" w14:textId="77777777" w:rsidR="00FA3CC9" w:rsidRDefault="00000000" w:rsidP="00851FA2">
      <w:pPr>
        <w:pStyle w:val="ListBullet"/>
        <w:jc w:val="both"/>
      </w:pPr>
      <w:r>
        <w:rPr>
          <w:rFonts w:ascii="Times New Roman" w:hAnsi="Times New Roman"/>
        </w:rPr>
        <w:t>Standard Class delivered the strongest results, with a 60.2% on-time rate and the highest logistics-efficiency score.</w:t>
      </w:r>
    </w:p>
    <w:p w14:paraId="1943F9AF" w14:textId="77777777" w:rsidR="00FA3CC9" w:rsidRDefault="00000000" w:rsidP="00851FA2">
      <w:pPr>
        <w:pStyle w:val="ListBullet"/>
        <w:jc w:val="both"/>
      </w:pPr>
      <w:r>
        <w:rPr>
          <w:rFonts w:ascii="Times New Roman" w:hAnsi="Times New Roman"/>
        </w:rPr>
        <w:t>First Class and Second Class showed the weakest outcomes, with materially higher late-delivery risk and larger delivery gaps.</w:t>
      </w:r>
    </w:p>
    <w:p w14:paraId="5FCE796D" w14:textId="77777777" w:rsidR="00FA3CC9" w:rsidRDefault="00000000" w:rsidP="00851FA2">
      <w:pPr>
        <w:pStyle w:val="ListBullet"/>
        <w:jc w:val="both"/>
      </w:pPr>
      <w:r>
        <w:rPr>
          <w:rFonts w:ascii="Times New Roman" w:hAnsi="Times New Roman"/>
        </w:rPr>
        <w:t>Central Africa was the highest-risk region, Europe was the weakest market, and Home Office customers showed the highest segment-level delay exposure.</w:t>
      </w:r>
    </w:p>
    <w:p w14:paraId="0F15360C" w14:textId="77777777" w:rsidR="00FA3CC9" w:rsidRPr="00851FA2" w:rsidRDefault="00000000" w:rsidP="002D56B8">
      <w:pPr>
        <w:rPr>
          <w:b/>
          <w:bCs/>
          <w:sz w:val="24"/>
          <w:szCs w:val="24"/>
        </w:rPr>
      </w:pPr>
      <w:r w:rsidRPr="00851FA2">
        <w:rPr>
          <w:b/>
          <w:bCs/>
          <w:sz w:val="24"/>
          <w:szCs w:val="24"/>
        </w:rPr>
        <w:t>Operational Impact</w:t>
      </w:r>
    </w:p>
    <w:p w14:paraId="3BC72FF8" w14:textId="77777777" w:rsidR="00FA3CC9" w:rsidRDefault="00000000" w:rsidP="00851FA2">
      <w:pPr>
        <w:jc w:val="both"/>
      </w:pPr>
      <w:r>
        <w:rPr>
          <w:rFonts w:ascii="Times New Roman" w:hAnsi="Times New Roman"/>
        </w:rPr>
        <w:t>The results indicate that delivery risk is not isolated to a few exceptional orders. It reflects a broader service-performance issue that can affect SLA compliance, customer confidence, and operating cost through escalations, rework, and preventable delay management.</w:t>
      </w:r>
    </w:p>
    <w:p w14:paraId="63880D1E" w14:textId="77777777" w:rsidR="00FA3CC9" w:rsidRPr="00851FA2" w:rsidRDefault="00000000" w:rsidP="002D56B8">
      <w:pPr>
        <w:rPr>
          <w:b/>
          <w:bCs/>
          <w:sz w:val="24"/>
          <w:szCs w:val="24"/>
        </w:rPr>
      </w:pPr>
      <w:r w:rsidRPr="00851FA2">
        <w:rPr>
          <w:b/>
          <w:bCs/>
          <w:sz w:val="24"/>
          <w:szCs w:val="24"/>
        </w:rPr>
        <w:t>Data Limitation</w:t>
      </w:r>
    </w:p>
    <w:p w14:paraId="756C116F" w14:textId="77777777" w:rsidR="00FA3CC9" w:rsidRDefault="00000000" w:rsidP="00851FA2">
      <w:pPr>
        <w:jc w:val="both"/>
      </w:pPr>
      <w:r>
        <w:rPr>
          <w:rFonts w:ascii="Times New Roman" w:hAnsi="Times New Roman"/>
        </w:rPr>
        <w:t>The source dataset does not contain date-related columns for order creation, dispatch, or shipment completion. As a result, the current analysis supports operational benchmarking but cannot provide time-trend, seasonality, or aging analysis.</w:t>
      </w:r>
    </w:p>
    <w:p w14:paraId="4DE5D1D9" w14:textId="77777777" w:rsidR="00FA3CC9" w:rsidRPr="00851FA2" w:rsidRDefault="00000000" w:rsidP="002D56B8">
      <w:pPr>
        <w:rPr>
          <w:b/>
          <w:bCs/>
          <w:sz w:val="24"/>
          <w:szCs w:val="24"/>
        </w:rPr>
      </w:pPr>
      <w:r w:rsidRPr="00851FA2">
        <w:rPr>
          <w:b/>
          <w:bCs/>
          <w:sz w:val="24"/>
          <w:szCs w:val="24"/>
        </w:rPr>
        <w:t>Recommendations</w:t>
      </w:r>
    </w:p>
    <w:p w14:paraId="04B05BDC" w14:textId="77777777" w:rsidR="00FA3CC9" w:rsidRDefault="00000000" w:rsidP="00851FA2">
      <w:pPr>
        <w:pStyle w:val="ListBullet"/>
        <w:jc w:val="both"/>
      </w:pPr>
      <w:r>
        <w:rPr>
          <w:rFonts w:ascii="Times New Roman" w:hAnsi="Times New Roman"/>
        </w:rPr>
        <w:t xml:space="preserve">Audit First Class and </w:t>
      </w:r>
      <w:proofErr w:type="gramStart"/>
      <w:r>
        <w:rPr>
          <w:rFonts w:ascii="Times New Roman" w:hAnsi="Times New Roman"/>
        </w:rPr>
        <w:t>Second Class</w:t>
      </w:r>
      <w:proofErr w:type="gramEnd"/>
      <w:r>
        <w:rPr>
          <w:rFonts w:ascii="Times New Roman" w:hAnsi="Times New Roman"/>
        </w:rPr>
        <w:t xml:space="preserve"> service design, carrier allocation, and execution quality.</w:t>
      </w:r>
    </w:p>
    <w:p w14:paraId="7CC0BB38" w14:textId="77777777" w:rsidR="00FA3CC9" w:rsidRDefault="00000000" w:rsidP="00851FA2">
      <w:pPr>
        <w:pStyle w:val="ListBullet"/>
        <w:jc w:val="both"/>
      </w:pPr>
      <w:r>
        <w:rPr>
          <w:rFonts w:ascii="Times New Roman" w:hAnsi="Times New Roman"/>
        </w:rPr>
        <w:t>Prioritize corrective route interventions in Central Africa and elevated-risk European corridors.</w:t>
      </w:r>
    </w:p>
    <w:p w14:paraId="08DB4B4F" w14:textId="77777777" w:rsidR="00FA3CC9" w:rsidRDefault="00000000" w:rsidP="00851FA2">
      <w:pPr>
        <w:pStyle w:val="ListBullet"/>
        <w:jc w:val="both"/>
      </w:pPr>
      <w:r>
        <w:rPr>
          <w:rFonts w:ascii="Times New Roman" w:hAnsi="Times New Roman"/>
        </w:rPr>
        <w:t>Use Standard Class operating practices as a benchmark for weaker shipping modes.</w:t>
      </w:r>
    </w:p>
    <w:p w14:paraId="5FE4C1D5" w14:textId="77777777" w:rsidR="00FA3CC9" w:rsidRDefault="00000000" w:rsidP="00851FA2">
      <w:pPr>
        <w:pStyle w:val="ListBullet"/>
        <w:jc w:val="both"/>
      </w:pPr>
      <w:r>
        <w:rPr>
          <w:rFonts w:ascii="Times New Roman" w:hAnsi="Times New Roman"/>
        </w:rPr>
        <w:t>Enrich the source system with real order and shipment date fields so future analytics can support time-based logistics governance.</w:t>
      </w:r>
    </w:p>
    <w:p w14:paraId="65ECE1B1" w14:textId="671CC703" w:rsidR="00FA3CC9" w:rsidRPr="00851FA2" w:rsidRDefault="00000000" w:rsidP="002D56B8">
      <w:pPr>
        <w:rPr>
          <w:b/>
          <w:bCs/>
          <w:sz w:val="24"/>
          <w:szCs w:val="24"/>
        </w:rPr>
      </w:pPr>
      <w:r w:rsidRPr="00851FA2">
        <w:rPr>
          <w:b/>
          <w:bCs/>
          <w:sz w:val="24"/>
          <w:szCs w:val="24"/>
        </w:rPr>
        <w:t>Conclusion</w:t>
      </w:r>
    </w:p>
    <w:p w14:paraId="4B9B30EC" w14:textId="77777777" w:rsidR="00FA3CC9" w:rsidRDefault="00000000" w:rsidP="00851FA2">
      <w:pPr>
        <w:jc w:val="both"/>
      </w:pPr>
      <w:r>
        <w:rPr>
          <w:rFonts w:ascii="Times New Roman" w:hAnsi="Times New Roman"/>
        </w:rPr>
        <w:t>The Project 4 dashboard and research paper provide a strong decision-support baseline for monitoring logistics performance. With targeted action on high-risk modes and geographies, APL Logistics can improve delivery reliability and strengthen operational transparency.</w:t>
      </w:r>
    </w:p>
    <w:sectPr w:rsidR="00FA3CC9" w:rsidSect="00851FA2">
      <w:pgSz w:w="12240" w:h="15840"/>
      <w:pgMar w:top="1440" w:right="72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550615">
    <w:abstractNumId w:val="8"/>
  </w:num>
  <w:num w:numId="2" w16cid:durableId="1823040357">
    <w:abstractNumId w:val="6"/>
  </w:num>
  <w:num w:numId="3" w16cid:durableId="644824224">
    <w:abstractNumId w:val="5"/>
  </w:num>
  <w:num w:numId="4" w16cid:durableId="1219242691">
    <w:abstractNumId w:val="4"/>
  </w:num>
  <w:num w:numId="5" w16cid:durableId="544029551">
    <w:abstractNumId w:val="7"/>
  </w:num>
  <w:num w:numId="6" w16cid:durableId="1428186664">
    <w:abstractNumId w:val="3"/>
  </w:num>
  <w:num w:numId="7" w16cid:durableId="1802454573">
    <w:abstractNumId w:val="2"/>
  </w:num>
  <w:num w:numId="8" w16cid:durableId="369771853">
    <w:abstractNumId w:val="1"/>
  </w:num>
  <w:num w:numId="9" w16cid:durableId="160152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6B8"/>
    <w:rsid w:val="002F468E"/>
    <w:rsid w:val="00326F90"/>
    <w:rsid w:val="00423273"/>
    <w:rsid w:val="00851FA2"/>
    <w:rsid w:val="00AA1D8D"/>
    <w:rsid w:val="00B47730"/>
    <w:rsid w:val="00B90CB9"/>
    <w:rsid w:val="00CB0664"/>
    <w:rsid w:val="00FA3C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EAE81"/>
  <w14:defaultImageDpi w14:val="300"/>
  <w15:docId w15:val="{EC3AEB9C-F12E-4368-BD8B-230E0BEC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 Patil</cp:lastModifiedBy>
  <cp:revision>5</cp:revision>
  <dcterms:created xsi:type="dcterms:W3CDTF">2013-12-23T23:15:00Z</dcterms:created>
  <dcterms:modified xsi:type="dcterms:W3CDTF">2026-08-01T06:07:00Z</dcterms:modified>
  <cp:category/>
</cp:coreProperties>
</file>