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058C" w14:textId="77777777" w:rsidR="00565393" w:rsidRDefault="00000000">
      <w:pPr>
        <w:jc w:val="center"/>
      </w:pPr>
      <w:r>
        <w:rPr>
          <w:rFonts w:ascii="Times New Roman" w:hAnsi="Times New Roman"/>
          <w:b/>
          <w:sz w:val="36"/>
        </w:rPr>
        <w:t>Executive Summary: Nassau Candy Distributor - Product Profitability and Margin Performance Analysis</w:t>
      </w:r>
    </w:p>
    <w:p w14:paraId="3D5F161B" w14:textId="77777777" w:rsidR="00565393" w:rsidRPr="005E4464" w:rsidRDefault="00000000" w:rsidP="005E4464">
      <w:pPr>
        <w:rPr>
          <w:b/>
          <w:bCs/>
          <w:sz w:val="24"/>
          <w:szCs w:val="24"/>
        </w:rPr>
      </w:pPr>
      <w:r w:rsidRPr="005E4464">
        <w:rPr>
          <w:b/>
          <w:bCs/>
          <w:sz w:val="24"/>
          <w:szCs w:val="24"/>
        </w:rPr>
        <w:t>Overview</w:t>
      </w:r>
    </w:p>
    <w:p w14:paraId="03DFCFDF" w14:textId="77777777" w:rsidR="00565393" w:rsidRDefault="00000000" w:rsidP="001460BB">
      <w:pPr>
        <w:jc w:val="both"/>
      </w:pPr>
      <w:r>
        <w:rPr>
          <w:rFonts w:ascii="Times New Roman" w:hAnsi="Times New Roman"/>
        </w:rPr>
        <w:t>This project evaluates product-level and division-level profitability at Nassau Candy Distributor to support pricing, sourcing, and portfolio-management decisions. The analysis focuses on profit concentration, division performance, margin strength, and exposure to low-margin risk.</w:t>
      </w:r>
    </w:p>
    <w:p w14:paraId="3C364B1E" w14:textId="77777777" w:rsidR="00565393" w:rsidRPr="005E4464" w:rsidRDefault="00000000" w:rsidP="005E4464">
      <w:pPr>
        <w:rPr>
          <w:b/>
          <w:bCs/>
          <w:sz w:val="24"/>
          <w:szCs w:val="24"/>
        </w:rPr>
      </w:pPr>
      <w:r w:rsidRPr="005E4464">
        <w:rPr>
          <w:b/>
          <w:bCs/>
          <w:sz w:val="24"/>
          <w:szCs w:val="24"/>
        </w:rPr>
        <w:t>Key Findings</w:t>
      </w:r>
    </w:p>
    <w:p w14:paraId="09ECA514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Profit is highly concentrated: 4 products generate approximately 80% of total profit while representing only about 27% of the product portfolio.</w:t>
      </w:r>
    </w:p>
    <w:p w14:paraId="5685A850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The Chocolate division is the strongest business segment, contributing the highest revenue and gross profit while maintaining strong margin performance.</w:t>
      </w:r>
    </w:p>
    <w:p w14:paraId="6096D9CE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Gross margins are healthy and stable, averaging roughly 66%, which indicates effective pricing discipline and cost control.</w:t>
      </w:r>
    </w:p>
    <w:p w14:paraId="162E9E63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Margin risk exposure is limited in the current portfolio, with relatively few high-sales products showing weak margin performance.</w:t>
      </w:r>
    </w:p>
    <w:p w14:paraId="157EFAAF" w14:textId="77777777" w:rsidR="00565393" w:rsidRPr="005E4464" w:rsidRDefault="00000000" w:rsidP="005E4464">
      <w:pPr>
        <w:rPr>
          <w:b/>
          <w:bCs/>
          <w:sz w:val="24"/>
          <w:szCs w:val="24"/>
        </w:rPr>
      </w:pPr>
      <w:r w:rsidRPr="005E4464">
        <w:rPr>
          <w:b/>
          <w:bCs/>
          <w:sz w:val="24"/>
          <w:szCs w:val="24"/>
        </w:rPr>
        <w:t>Business Impact</w:t>
      </w:r>
    </w:p>
    <w:p w14:paraId="4363C053" w14:textId="77777777" w:rsidR="00565393" w:rsidRDefault="00000000" w:rsidP="001460BB">
      <w:pPr>
        <w:jc w:val="both"/>
      </w:pPr>
      <w:r>
        <w:rPr>
          <w:rFonts w:ascii="Times New Roman" w:hAnsi="Times New Roman"/>
        </w:rPr>
        <w:t>The current business mix is financially strong, but it is also dependent on a relatively small number of high-performing products. This creates concentration risk: disruptions in supply, pricing pressure, or demand shifts affecting those products could materially reduce overall profitability.</w:t>
      </w:r>
    </w:p>
    <w:p w14:paraId="64D60532" w14:textId="77777777" w:rsidR="00565393" w:rsidRPr="005E4464" w:rsidRDefault="00000000" w:rsidP="005E4464">
      <w:pPr>
        <w:rPr>
          <w:b/>
          <w:bCs/>
          <w:sz w:val="24"/>
          <w:szCs w:val="24"/>
        </w:rPr>
      </w:pPr>
      <w:r w:rsidRPr="005E4464">
        <w:rPr>
          <w:b/>
          <w:bCs/>
          <w:sz w:val="24"/>
          <w:szCs w:val="24"/>
        </w:rPr>
        <w:t>Recommendations</w:t>
      </w:r>
    </w:p>
    <w:p w14:paraId="01922F3A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Protect the availability, pricing, and supply continuity of the top profit-driving products.</w:t>
      </w:r>
    </w:p>
    <w:p w14:paraId="602A724D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Develop mid-performing products and divisions to reduce dependency on a narrow profit base.</w:t>
      </w:r>
    </w:p>
    <w:p w14:paraId="576FD096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Monitor low-margin SKUs routinely and trigger pricing or cost reviews where profitability weakens.</w:t>
      </w:r>
    </w:p>
    <w:p w14:paraId="77A1DCE9" w14:textId="77777777" w:rsidR="00565393" w:rsidRDefault="00000000" w:rsidP="001460BB">
      <w:pPr>
        <w:pStyle w:val="ListBullet"/>
        <w:jc w:val="both"/>
      </w:pPr>
      <w:r>
        <w:rPr>
          <w:rFonts w:ascii="Times New Roman" w:hAnsi="Times New Roman"/>
        </w:rPr>
        <w:t>Use recurring division- and product-level profitability reporting to guide portfolio decisions.</w:t>
      </w:r>
    </w:p>
    <w:p w14:paraId="17A4CF5B" w14:textId="77777777" w:rsidR="00565393" w:rsidRPr="005E4464" w:rsidRDefault="00000000" w:rsidP="005E4464">
      <w:pPr>
        <w:rPr>
          <w:b/>
          <w:bCs/>
          <w:sz w:val="24"/>
          <w:szCs w:val="24"/>
        </w:rPr>
      </w:pPr>
      <w:r w:rsidRPr="005E4464">
        <w:rPr>
          <w:b/>
          <w:bCs/>
          <w:sz w:val="24"/>
          <w:szCs w:val="24"/>
        </w:rPr>
        <w:t>Conclusion</w:t>
      </w:r>
    </w:p>
    <w:p w14:paraId="28B3A183" w14:textId="77777777" w:rsidR="00565393" w:rsidRDefault="00000000" w:rsidP="001460BB">
      <w:pPr>
        <w:jc w:val="both"/>
      </w:pPr>
      <w:r>
        <w:rPr>
          <w:rFonts w:ascii="Times New Roman" w:hAnsi="Times New Roman"/>
        </w:rPr>
        <w:t>Project 1 shows that Nassau Candy has a strong profitability structure, especially within the Chocolate division. The next management priority is to reduce concentration risk while preserving current margin strength.</w:t>
      </w:r>
    </w:p>
    <w:sectPr w:rsidR="00565393" w:rsidSect="005E4464">
      <w:pgSz w:w="12240" w:h="15840"/>
      <w:pgMar w:top="1440" w:right="81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514984">
    <w:abstractNumId w:val="8"/>
  </w:num>
  <w:num w:numId="2" w16cid:durableId="640774664">
    <w:abstractNumId w:val="6"/>
  </w:num>
  <w:num w:numId="3" w16cid:durableId="194389846">
    <w:abstractNumId w:val="5"/>
  </w:num>
  <w:num w:numId="4" w16cid:durableId="132724544">
    <w:abstractNumId w:val="4"/>
  </w:num>
  <w:num w:numId="5" w16cid:durableId="1549225987">
    <w:abstractNumId w:val="7"/>
  </w:num>
  <w:num w:numId="6" w16cid:durableId="369064694">
    <w:abstractNumId w:val="3"/>
  </w:num>
  <w:num w:numId="7" w16cid:durableId="1397245930">
    <w:abstractNumId w:val="2"/>
  </w:num>
  <w:num w:numId="8" w16cid:durableId="1250117067">
    <w:abstractNumId w:val="1"/>
  </w:num>
  <w:num w:numId="9" w16cid:durableId="157971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0BB"/>
    <w:rsid w:val="0015074B"/>
    <w:rsid w:val="0029639D"/>
    <w:rsid w:val="002C5F77"/>
    <w:rsid w:val="00326F90"/>
    <w:rsid w:val="004605EC"/>
    <w:rsid w:val="00565393"/>
    <w:rsid w:val="005E4464"/>
    <w:rsid w:val="0084086D"/>
    <w:rsid w:val="009C72E1"/>
    <w:rsid w:val="00AA1D8D"/>
    <w:rsid w:val="00B47730"/>
    <w:rsid w:val="00CB0664"/>
    <w:rsid w:val="00D77BB9"/>
    <w:rsid w:val="00EB1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AECA0"/>
  <w14:defaultImageDpi w14:val="300"/>
  <w15:docId w15:val="{ADC8A3C8-34FE-4AE8-B7A0-36819356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Patil</cp:lastModifiedBy>
  <cp:revision>9</cp:revision>
  <dcterms:created xsi:type="dcterms:W3CDTF">2013-12-23T23:15:00Z</dcterms:created>
  <dcterms:modified xsi:type="dcterms:W3CDTF">2026-08-01T06:13:00Z</dcterms:modified>
  <cp:category/>
</cp:coreProperties>
</file>