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6FEB"/>
          <w:sz w:val="36"/>
          <w:szCs w:val="36"/>
        </w:rPr>
        <w:t xml:space="preserve">Real-Time Driver Monitoring Using YOLOv8: Detection of Distracted Driving Behaviours</w:t>
      </w:r>
    </w:p>
    <w:p>
      <w:pPr>
        <w:spacing w:after="120"/>
      </w:pPr>
    </w:p>
    <w:p>
      <w:pPr>
        <w:spacing w:after="80"/>
        <w:jc w:val="center"/>
      </w:pPr>
      <w:r>
        <w:rPr>
          <w:rFonts w:ascii="Times New Roman" w:cs="Times New Roman" w:eastAsia="Times New Roman" w:hAnsi="Times New Roman"/>
          <w:color w:val="24292F"/>
          <w:sz w:val="22"/>
          <w:szCs w:val="22"/>
        </w:rPr>
        <w:t xml:space="preserve">[Author 1]¹, [Author 2]¹, [Author 3]¹, [Author 4]¹</w:t>
      </w:r>
    </w:p>
    <w:p>
      <w:pPr>
        <w:spacing w:after="80"/>
        <w:jc w:val="center"/>
      </w:pPr>
      <w:r>
        <w:rPr>
          <w:rFonts w:ascii="Times New Roman" w:cs="Times New Roman" w:eastAsia="Times New Roman" w:hAnsi="Times New Roman"/>
          <w:i/>
          <w:iCs/>
          <w:color w:val="24292F"/>
          <w:sz w:val="22"/>
          <w:szCs w:val="22"/>
        </w:rPr>
        <w:t xml:space="preserve">¹Department of Computer Science and Engineering, [College Name], [City], [Country]</w:t>
      </w:r>
    </w:p>
    <w:p>
      <w:pPr>
        <w:spacing w:after="200"/>
        <w:jc w:val="center"/>
      </w:pPr>
      <w:r>
        <w:rPr>
          <w:rFonts w:ascii="Times New Roman" w:cs="Times New Roman" w:eastAsia="Times New Roman" w:hAnsi="Times New Roman"/>
          <w:color w:val="24292F"/>
          <w:sz w:val="22"/>
          <w:szCs w:val="22"/>
        </w:rPr>
        <w:t xml:space="preserve">Correspondence: [email@college.edu]</w:t>
      </w:r>
    </w:p>
    <w:p>
      <w:pPr>
        <w:pBdr>
          <w:bottom w:val="single" w:color="D0D7DE" w:sz="4" w:space="1"/>
        </w:pBdr>
        <w:spacing w:before="160" w:after="160"/>
      </w:pPr>
    </w:p>
    <w:p>
      <w:pPr>
        <w:pStyle w:val="Heading1"/>
        <w:spacing w:before="320" w:after="160"/>
      </w:pPr>
      <w:r>
        <w:rPr>
          <w:rFonts w:ascii="Arial" w:cs="Arial" w:eastAsia="Arial" w:hAnsi="Arial"/>
          <w:b/>
          <w:bCs/>
          <w:color w:val="1F6FEB"/>
          <w:sz w:val="28"/>
          <w:szCs w:val="28"/>
        </w:rPr>
        <w:t xml:space="preserve">Abstract</w:t>
      </w:r>
    </w:p>
    <w:p>
      <w:pPr>
        <w:spacing w:after="160" w:line="360"/>
      </w:pPr>
      <w:r>
        <w:rPr>
          <w:rFonts w:ascii="Times New Roman" w:cs="Times New Roman" w:eastAsia="Times New Roman" w:hAnsi="Times New Roman"/>
          <w:color w:val="24292F"/>
          <w:sz w:val="22"/>
          <w:szCs w:val="22"/>
        </w:rPr>
        <w:t xml:space="preserve">Distracted driving is a principal cause of road traffic fatalities globally, accounting for a significant proportion of accidents attributed to inattention, mobile phone use, and other off-task behaviours. This paper presents a real-time Driver Monitoring System (DMS) employing the YOLOv8 object detection framework for classification of four driver behaviour states: Attentive, Distracted, Phone, and Talking. The model is trained via transfer learning on the LISA Driver Gaze RGB Dataset, fine-tuning a COCO-pretrained YOLOv8-medium backbone. A continuous attention scoring function maps detection outputs to a 0–100% attentiveness scale. System integration includes PERCLOS estimation for drowsiness assessment and head pose tracking. Two user-facing interfaces — a Streamlit web application and a Flask REST API application — provide real-time dashboard visualisation, live video streaming, and post-session event reporting. Experimental evaluation on the validation set demonstrates competitive mAP@0.5 performance with inference latency suitable for real-time deployment. This work contributes an accessible, open-source academic implementation bridging deep learning and practical driver safety applications.</w:t>
      </w:r>
    </w:p>
    <w:p>
      <w:pPr>
        <w:spacing w:after="120"/>
      </w:pPr>
    </w:p>
    <w:p>
      <w:pPr>
        <w:spacing w:after="200"/>
      </w:pPr>
      <w:r>
        <w:rPr>
          <w:rFonts w:ascii="Times New Roman" w:cs="Times New Roman" w:eastAsia="Times New Roman" w:hAnsi="Times New Roman"/>
          <w:b/>
          <w:bCs/>
          <w:color w:val="24292F"/>
          <w:sz w:val="22"/>
          <w:szCs w:val="22"/>
        </w:rPr>
        <w:t xml:space="preserve">Keywords: </w:t>
      </w:r>
      <w:r>
        <w:rPr>
          <w:rFonts w:ascii="Times New Roman" w:cs="Times New Roman" w:eastAsia="Times New Roman" w:hAnsi="Times New Roman"/>
          <w:color w:val="24292F"/>
          <w:sz w:val="22"/>
          <w:szCs w:val="22"/>
        </w:rPr>
        <w:t xml:space="preserve">Driver Monitoring System; YOLOv8; Distracted Driving; Transfer Learning; Real-Time Detection; PERCLOS; Computer Vision; Deep Learning</w:t>
      </w:r>
    </w:p>
    <w:p>
      <w:pPr>
        <w:pBdr>
          <w:bottom w:val="single" w:color="D0D7DE" w:sz="4" w:space="1"/>
        </w:pBdr>
        <w:spacing w:before="160" w:after="160"/>
      </w:pPr>
    </w:p>
    <w:p>
      <w:pPr>
        <w:pStyle w:val="Heading1"/>
        <w:spacing w:before="320" w:after="160"/>
      </w:pPr>
      <w:r>
        <w:rPr>
          <w:rFonts w:ascii="Arial" w:cs="Arial" w:eastAsia="Arial" w:hAnsi="Arial"/>
          <w:b/>
          <w:bCs/>
          <w:color w:val="1F6FEB"/>
          <w:sz w:val="28"/>
          <w:szCs w:val="28"/>
        </w:rPr>
        <w:t xml:space="preserve">1. Introduction</w:t>
      </w:r>
    </w:p>
    <w:p>
      <w:pPr>
        <w:spacing w:after="160" w:line="360"/>
      </w:pPr>
      <w:r>
        <w:rPr>
          <w:rFonts w:ascii="Times New Roman" w:cs="Times New Roman" w:eastAsia="Times New Roman" w:hAnsi="Times New Roman"/>
          <w:color w:val="24292F"/>
          <w:sz w:val="22"/>
          <w:szCs w:val="22"/>
        </w:rPr>
        <w:t xml:space="preserve">Road traffic accidents represent one of the most pressing public health crises of the modern era. The World Health Organization (WHO) estimates that approximately 1.35 million individuals lose their lives in road crashes annually, with millions more sustaining non-fatal injuries. A substantial fraction of these incidents are attributable to driver inattention, drowsiness, and distraction — collectively termed driver monitoring failures. The proliferation of in-vehicle touchscreens, mobile devices, and complex infotainment systems has intensified these risks in recent years.</w:t>
      </w:r>
    </w:p>
    <w:p>
      <w:pPr>
        <w:spacing w:after="160" w:line="360"/>
      </w:pPr>
      <w:r>
        <w:rPr>
          <w:rFonts w:ascii="Times New Roman" w:cs="Times New Roman" w:eastAsia="Times New Roman" w:hAnsi="Times New Roman"/>
          <w:color w:val="24292F"/>
          <w:sz w:val="22"/>
          <w:szCs w:val="22"/>
        </w:rPr>
        <w:t xml:space="preserve">Advanced Driver Assistance Systems (ADAS) incorporating Driver Monitoring Systems (DMS) represent a promising countermeasure. Camera-based DMS solutions have gained traction due to their non-intrusive nature and declining hardware costs. Recent advances in deep learning, particularly convolutional neural networks (CNNs) and real-time object detectors, have substantially elevated the accuracy and efficiency of vision-based monitoring systems.</w:t>
      </w:r>
    </w:p>
    <w:p>
      <w:pPr>
        <w:spacing w:after="160" w:line="360"/>
      </w:pPr>
      <w:r>
        <w:rPr>
          <w:rFonts w:ascii="Times New Roman" w:cs="Times New Roman" w:eastAsia="Times New Roman" w:hAnsi="Times New Roman"/>
          <w:color w:val="24292F"/>
          <w:sz w:val="22"/>
          <w:szCs w:val="22"/>
        </w:rPr>
        <w:t xml:space="preserve">The YOLOv8 architecture, released by Ultralytics in 2023, represents the current state of the art in single-stage real-time object detection [1]. Its anchor-free detection head, efficient CSP backbone, and distribution focal loss (DFL) formulation yield superior speed-accuracy trade-offs compared to predecessor models. This paper proposes a YOLOv8-based DMS capable of classifying driver behaviour in real time, accompanied by open-source Streamlit and Flask application interfaces for practical demonstration.</w:t>
      </w:r>
    </w:p>
    <w:p>
      <w:pPr>
        <w:spacing w:after="160" w:line="360"/>
      </w:pPr>
      <w:r>
        <w:rPr>
          <w:rFonts w:ascii="Times New Roman" w:cs="Times New Roman" w:eastAsia="Times New Roman" w:hAnsi="Times New Roman"/>
          <w:color w:val="24292F"/>
          <w:sz w:val="22"/>
          <w:szCs w:val="22"/>
        </w:rPr>
        <w:t xml:space="preserve">The principal contributions of this work are as follows:</w:t>
      </w:r>
    </w:p>
    <w:p>
      <w:pPr>
        <w:pStyle w:val="ListParagraph"/>
        <w:numPr>
          <w:ilvl w:val="0"/>
          <w:numId w:val="2"/>
        </w:numPr>
        <w:spacing w:after="80" w:line="360"/>
      </w:pPr>
      <w:r>
        <w:rPr>
          <w:rFonts w:ascii="Times New Roman" w:cs="Times New Roman" w:eastAsia="Times New Roman" w:hAnsi="Times New Roman"/>
          <w:color w:val="24292F"/>
          <w:sz w:val="22"/>
          <w:szCs w:val="22"/>
        </w:rPr>
        <w:t xml:space="preserve">A fine-tuned YOLOv8 model for four-class driver behaviour classification trained on the LISA Driver Gaze RGB Dataset.</w:t>
      </w:r>
    </w:p>
    <w:p>
      <w:pPr>
        <w:pStyle w:val="ListParagraph"/>
        <w:numPr>
          <w:ilvl w:val="0"/>
          <w:numId w:val="2"/>
        </w:numPr>
        <w:spacing w:after="80" w:line="360"/>
      </w:pPr>
      <w:r>
        <w:rPr>
          <w:rFonts w:ascii="Times New Roman" w:cs="Times New Roman" w:eastAsia="Times New Roman" w:hAnsi="Times New Roman"/>
          <w:color w:val="24292F"/>
          <w:sz w:val="22"/>
          <w:szCs w:val="22"/>
        </w:rPr>
        <w:t xml:space="preserve">An attention scoring function providing continuous driver attentiveness estimation beyond discrete classification.</w:t>
      </w:r>
    </w:p>
    <w:p>
      <w:pPr>
        <w:pStyle w:val="ListParagraph"/>
        <w:numPr>
          <w:ilvl w:val="0"/>
          <w:numId w:val="2"/>
        </w:numPr>
        <w:spacing w:after="80" w:line="360"/>
      </w:pPr>
      <w:r>
        <w:rPr>
          <w:rFonts w:ascii="Times New Roman" w:cs="Times New Roman" w:eastAsia="Times New Roman" w:hAnsi="Times New Roman"/>
          <w:color w:val="24292F"/>
          <w:sz w:val="22"/>
          <w:szCs w:val="22"/>
        </w:rPr>
        <w:t xml:space="preserve">A Streamlit dashboard featuring SVG-rendered attention gauge, PERCLOS display, and post-drive event analysis.</w:t>
      </w:r>
    </w:p>
    <w:p>
      <w:pPr>
        <w:pStyle w:val="ListParagraph"/>
        <w:numPr>
          <w:ilvl w:val="0"/>
          <w:numId w:val="2"/>
        </w:numPr>
        <w:spacing w:after="80" w:line="360"/>
      </w:pPr>
      <w:r>
        <w:rPr>
          <w:rFonts w:ascii="Times New Roman" w:cs="Times New Roman" w:eastAsia="Times New Roman" w:hAnsi="Times New Roman"/>
          <w:color w:val="24292F"/>
          <w:sz w:val="22"/>
          <w:szCs w:val="22"/>
        </w:rPr>
        <w:t xml:space="preserve">A Flask application providing MJPEG video streaming with JSON API integration for real-time detection.</w:t>
      </w:r>
    </w:p>
    <w:p>
      <w:pPr>
        <w:pStyle w:val="ListParagraph"/>
        <w:numPr>
          <w:ilvl w:val="0"/>
          <w:numId w:val="2"/>
        </w:numPr>
        <w:spacing w:after="80" w:line="360"/>
      </w:pPr>
      <w:r>
        <w:rPr>
          <w:rFonts w:ascii="Times New Roman" w:cs="Times New Roman" w:eastAsia="Times New Roman" w:hAnsi="Times New Roman"/>
          <w:color w:val="24292F"/>
          <w:sz w:val="22"/>
          <w:szCs w:val="22"/>
        </w:rPr>
        <w:t xml:space="preserve">An open-source codebase with Kaggle API-based dataset acquisition and Google Colab training support.</w:t>
      </w:r>
    </w:p>
    <w:p>
      <w:pPr>
        <w:spacing w:after="120"/>
      </w:pPr>
    </w:p>
    <w:p>
      <w:pPr>
        <w:pStyle w:val="Heading1"/>
        <w:spacing w:before="320" w:after="160"/>
      </w:pPr>
      <w:r>
        <w:rPr>
          <w:rFonts w:ascii="Arial" w:cs="Arial" w:eastAsia="Arial" w:hAnsi="Arial"/>
          <w:b/>
          <w:bCs/>
          <w:color w:val="1F6FEB"/>
          <w:sz w:val="28"/>
          <w:szCs w:val="28"/>
        </w:rPr>
        <w:t xml:space="preserve">2. Related Work</w:t>
      </w:r>
    </w:p>
    <w:p>
      <w:pPr>
        <w:spacing w:after="160" w:line="360"/>
      </w:pPr>
      <w:r>
        <w:rPr>
          <w:rFonts w:ascii="Times New Roman" w:cs="Times New Roman" w:eastAsia="Times New Roman" w:hAnsi="Times New Roman"/>
          <w:color w:val="24292F"/>
          <w:sz w:val="22"/>
          <w:szCs w:val="22"/>
        </w:rPr>
        <w:t xml:space="preserve">Early camera-based DMS approaches relied on facial landmark detection using dlib and the Eye Aspect Ratio (EAR) metric to detect blink patterns and estimate drowsiness [2]. While computationally lightweight, these methods exhibit limited robustness to partial occlusion, head rotations, and varying illumination conditions typical in naturalistic driving environments.</w:t>
      </w:r>
    </w:p>
    <w:p>
      <w:pPr>
        <w:spacing w:after="160" w:line="360"/>
      </w:pPr>
      <w:r>
        <w:rPr>
          <w:rFonts w:ascii="Times New Roman" w:cs="Times New Roman" w:eastAsia="Times New Roman" w:hAnsi="Times New Roman"/>
          <w:color w:val="24292F"/>
          <w:sz w:val="22"/>
          <w:szCs w:val="22"/>
        </w:rPr>
        <w:t xml:space="preserve">CNN-based classification approaches have demonstrated substantial improvements in detection accuracy. MobileNet and ResNet variants have been deployed for driver behaviour recognition, achieving accuracies above 90% on controlled datasets [3]. However, frame-level classification without spatial localisation limits their interpretability and multi-occupant generalisation.</w:t>
      </w:r>
    </w:p>
    <w:p>
      <w:pPr>
        <w:spacing w:after="160" w:line="360"/>
      </w:pPr>
      <w:r>
        <w:rPr>
          <w:rFonts w:ascii="Times New Roman" w:cs="Times New Roman" w:eastAsia="Times New Roman" w:hAnsi="Times New Roman"/>
          <w:color w:val="24292F"/>
          <w:sz w:val="22"/>
          <w:szCs w:val="22"/>
        </w:rPr>
        <w:t xml:space="preserve">Object detection architectures, by contrast, simultaneously localise and classify targets, enabling multi-person monitoring in shared vehicles. Kumari et al. [4] applied YOLOv5 to distracted driver detection, reporting 91.7% mAP on a binary classification task. Wang et al. [5] demonstrated that YOLOv7 achieves superior speed-accuracy trade-offs compared to two-stage detectors such as Faster R-CNN. To the best of our knowledge, YOLOv8 has not been previously applied to the LISA Driver Gaze dataset in the open literature, motivating the present work.</w:t>
      </w:r>
    </w:p>
    <w:p>
      <w:pPr>
        <w:spacing w:after="120"/>
      </w:pPr>
    </w:p>
    <w:p>
      <w:pPr>
        <w:pStyle w:val="Heading1"/>
        <w:spacing w:before="320" w:after="160"/>
      </w:pPr>
      <w:r>
        <w:rPr>
          <w:rFonts w:ascii="Arial" w:cs="Arial" w:eastAsia="Arial" w:hAnsi="Arial"/>
          <w:b/>
          <w:bCs/>
          <w:color w:val="1F6FEB"/>
          <w:sz w:val="28"/>
          <w:szCs w:val="28"/>
        </w:rPr>
        <w:t xml:space="preserve">3. Methodology / Proposed Model</w:t>
      </w:r>
    </w:p>
    <w:p>
      <w:pPr>
        <w:pStyle w:val="Heading2"/>
        <w:spacing w:before="240" w:after="120"/>
      </w:pPr>
      <w:r>
        <w:rPr>
          <w:rFonts w:ascii="Arial" w:cs="Arial" w:eastAsia="Arial" w:hAnsi="Arial"/>
          <w:b/>
          <w:bCs/>
          <w:color w:val="24292F"/>
          <w:sz w:val="24"/>
          <w:szCs w:val="24"/>
        </w:rPr>
        <w:t xml:space="preserve">3.1 Dataset</w:t>
      </w:r>
    </w:p>
    <w:p>
      <w:pPr>
        <w:spacing w:after="160" w:line="360"/>
      </w:pPr>
      <w:r>
        <w:rPr>
          <w:rFonts w:ascii="Times New Roman" w:cs="Times New Roman" w:eastAsia="Times New Roman" w:hAnsi="Times New Roman"/>
          <w:color w:val="24292F"/>
          <w:sz w:val="22"/>
          <w:szCs w:val="22"/>
        </w:rPr>
        <w:t xml:space="preserve">The LISA Driver Gaze RGB Dataset (v1 &amp; v2) [6] provides RGB images of driver facial regions captured in real driving conditions with diverse lighting, head orientations, and demographic characteristics. The dataset is partitioned in a 70:20:10 ratio for training, validation, and testing respectively. Images are standardised to 640×640 pixels following YOLOv8 convention. Class labels are mapped to four behaviour categories: Attentive (0), Distracted (1), Phone (2), and Talking (3).</w:t>
      </w:r>
    </w:p>
    <w:p>
      <w:pPr>
        <w:spacing w:after="120"/>
      </w:pPr>
    </w:p>
    <w:p>
      <w:pPr>
        <w:pStyle w:val="Heading2"/>
        <w:spacing w:before="240" w:after="120"/>
      </w:pPr>
      <w:r>
        <w:rPr>
          <w:rFonts w:ascii="Arial" w:cs="Arial" w:eastAsia="Arial" w:hAnsi="Arial"/>
          <w:b/>
          <w:bCs/>
          <w:color w:val="24292F"/>
          <w:sz w:val="24"/>
          <w:szCs w:val="24"/>
        </w:rPr>
        <w:t xml:space="preserve">3.2 Model Architecture</w:t>
      </w:r>
    </w:p>
    <w:p>
      <w:pPr>
        <w:spacing w:after="160" w:line="360"/>
      </w:pPr>
      <w:r>
        <w:rPr>
          <w:rFonts w:ascii="Times New Roman" w:cs="Times New Roman" w:eastAsia="Times New Roman" w:hAnsi="Times New Roman"/>
          <w:color w:val="24292F"/>
          <w:sz w:val="22"/>
          <w:szCs w:val="22"/>
        </w:rPr>
        <w:t xml:space="preserve">The YOLOv8-medium (yolov8m) variant is selected for training, comprising a C2f-block CSPDarknet53 backbone, a feature pyramid network (FPN/PAN) neck, and an anchor-free detection head. The model is initialised with ImageNet/COCO-pretrained weights (80-class COCO checkpoint) and the detection head is replaced to accommodate the 4-class output space.</w:t>
      </w:r>
    </w:p>
    <w:p>
      <w:pPr>
        <w:spacing w:after="120"/>
      </w:pPr>
    </w:p>
    <w:p>
      <w:pPr>
        <w:pStyle w:val="Heading2"/>
        <w:spacing w:before="240" w:after="120"/>
      </w:pPr>
      <w:r>
        <w:rPr>
          <w:rFonts w:ascii="Arial" w:cs="Arial" w:eastAsia="Arial" w:hAnsi="Arial"/>
          <w:b/>
          <w:bCs/>
          <w:color w:val="24292F"/>
          <w:sz w:val="24"/>
          <w:szCs w:val="24"/>
        </w:rPr>
        <w:t xml:space="preserve">3.3 Training Protocol</w:t>
      </w:r>
    </w:p>
    <w:p>
      <w:pPr>
        <w:spacing w:after="160" w:line="360"/>
      </w:pPr>
      <w:r>
        <w:rPr>
          <w:rFonts w:ascii="Times New Roman" w:cs="Times New Roman" w:eastAsia="Times New Roman" w:hAnsi="Times New Roman"/>
          <w:color w:val="24292F"/>
          <w:sz w:val="22"/>
          <w:szCs w:val="22"/>
        </w:rPr>
        <w:t xml:space="preserve">Training is conducted for 50 epochs using the AdamW optimiser with an initial learning rate of 0.001 and cosine annealing scheduling (lrf=0.01). Data augmentation strategies including random horizontal flip (p=0.5), random scaling (±50%), translation (±10%), and Mixup (α=0.1) are applied to improve generalisation. An early stopping mechanism with patience of 10 epochs prevents overfitting.</w:t>
      </w:r>
    </w:p>
    <w:p>
      <w:pPr>
        <w:spacing w:after="120"/>
      </w:pPr>
    </w:p>
    <w:p>
      <w:pPr>
        <w:pStyle w:val="Heading2"/>
        <w:spacing w:before="240" w:after="120"/>
      </w:pPr>
      <w:r>
        <w:rPr>
          <w:rFonts w:ascii="Arial" w:cs="Arial" w:eastAsia="Arial" w:hAnsi="Arial"/>
          <w:b/>
          <w:bCs/>
          <w:color w:val="24292F"/>
          <w:sz w:val="24"/>
          <w:szCs w:val="24"/>
        </w:rPr>
        <w:t xml:space="preserve">3.4 Attention Score</w:t>
      </w:r>
    </w:p>
    <w:p>
      <w:pPr>
        <w:spacing w:after="160" w:line="360"/>
      </w:pPr>
      <w:r>
        <w:rPr>
          <w:rFonts w:ascii="Times New Roman" w:cs="Times New Roman" w:eastAsia="Times New Roman" w:hAnsi="Times New Roman"/>
          <w:color w:val="24292F"/>
          <w:sz w:val="22"/>
          <w:szCs w:val="22"/>
        </w:rPr>
        <w:t xml:space="preserve">The discrete class prediction is mapped to a continuous attention score S ∈ [0, 100] as follows:</w:t>
      </w:r>
    </w:p>
    <w:p>
      <w:pPr>
        <w:spacing w:after="40"/>
      </w:pPr>
      <w:r>
        <w:rPr>
          <w:rFonts w:ascii="Courier New" w:cs="Courier New" w:eastAsia="Courier New" w:hAnsi="Courier New"/>
          <w:sz w:val="20"/>
          <w:szCs w:val="20"/>
        </w:rPr>
        <w:t xml:space="preserve">S = f(c, p) = { min(100, 70+30p)   if c=0 (Attentive)</w:t>
      </w:r>
    </w:p>
    <w:p>
      <w:pPr>
        <w:spacing w:after="40"/>
      </w:pPr>
      <w:r>
        <w:rPr>
          <w:rFonts w:ascii="Courier New" w:cs="Courier New" w:eastAsia="Courier New" w:hAnsi="Courier New"/>
          <w:sz w:val="20"/>
          <w:szCs w:val="20"/>
        </w:rPr>
        <w:t xml:space="preserve">              max(0, 50−40p)    if c=1 (Distracted)</w:t>
      </w:r>
    </w:p>
    <w:p>
      <w:pPr>
        <w:spacing w:after="40"/>
      </w:pPr>
      <w:r>
        <w:rPr>
          <w:rFonts w:ascii="Courier New" w:cs="Courier New" w:eastAsia="Courier New" w:hAnsi="Courier New"/>
          <w:sz w:val="20"/>
          <w:szCs w:val="20"/>
        </w:rPr>
        <w:t xml:space="preserve">              max(0, 30−30p)    if c=2 (Phone)</w:t>
      </w:r>
    </w:p>
    <w:p>
      <w:pPr>
        <w:spacing w:after="160"/>
      </w:pPr>
      <w:r>
        <w:rPr>
          <w:rFonts w:ascii="Courier New" w:cs="Courier New" w:eastAsia="Courier New" w:hAnsi="Courier New"/>
          <w:sz w:val="20"/>
          <w:szCs w:val="20"/>
        </w:rPr>
        <w:t xml:space="preserve">              max(0, 40−30p)    if c=3 (Talking) }</w:t>
      </w:r>
    </w:p>
    <w:p>
      <w:pPr>
        <w:spacing w:after="160" w:line="360"/>
      </w:pPr>
      <w:r>
        <w:rPr>
          <w:rFonts w:ascii="Times New Roman" w:cs="Times New Roman" w:eastAsia="Times New Roman" w:hAnsi="Times New Roman"/>
          <w:color w:val="24292F"/>
          <w:sz w:val="22"/>
          <w:szCs w:val="22"/>
        </w:rPr>
        <w:t xml:space="preserve">where c is the predicted class and p ∈ [0,1] is the detection confidence. This formulation ensures that high-confidence attentive predictions yield scores approaching 100%, while high-confidence distracted predictions yield scores near 0%, with proportional intermediate values.</w:t>
      </w:r>
    </w:p>
    <w:p>
      <w:pPr>
        <w:spacing w:after="120"/>
      </w:pPr>
    </w:p>
    <w:p>
      <w:pPr>
        <w:pStyle w:val="Heading1"/>
        <w:spacing w:before="320" w:after="160"/>
      </w:pPr>
      <w:r>
        <w:rPr>
          <w:rFonts w:ascii="Arial" w:cs="Arial" w:eastAsia="Arial" w:hAnsi="Arial"/>
          <w:b/>
          <w:bCs/>
          <w:color w:val="1F6FEB"/>
          <w:sz w:val="28"/>
          <w:szCs w:val="28"/>
        </w:rPr>
        <w:t xml:space="preserve">4. Experimental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0D7DE" w:sz="1"/>
              <w:left w:val="single" w:color="D0D7DE" w:sz="1"/>
              <w:bottom w:val="single" w:color="D0D7DE" w:sz="1"/>
              <w:right w:val="single" w:color="D0D7DE" w:sz="1"/>
            </w:tcBorders>
            <w:shd w:fill="1F6FEB" w:val="clear"/>
            <w:tcMar>
              <w:top w:type="dxa" w:w="80"/>
              <w:left w:type="dxa" w:w="160"/>
              <w:bottom w:type="dxa" w:w="80"/>
              <w:right w:type="dxa" w:w="160"/>
            </w:tcMar>
          </w:tcPr>
          <w:p>
            <w:pPr>
              <w:spacing w:after="0"/>
            </w:pPr>
            <w:r>
              <w:rPr>
                <w:rFonts w:ascii="Arial" w:cs="Arial" w:eastAsia="Arial" w:hAnsi="Arial"/>
                <w:b/>
                <w:bCs/>
                <w:color w:val="FFFFFF"/>
                <w:sz w:val="18"/>
                <w:szCs w:val="18"/>
              </w:rPr>
              <w:t xml:space="preserve">Component</w:t>
            </w:r>
          </w:p>
        </w:tc>
        <w:tc>
          <w:tcPr>
            <w:tcW w:type="dxa" w:w="4860"/>
            <w:tcBorders>
              <w:top w:val="single" w:color="D0D7DE" w:sz="1"/>
              <w:left w:val="single" w:color="D0D7DE" w:sz="1"/>
              <w:bottom w:val="single" w:color="D0D7DE" w:sz="1"/>
              <w:right w:val="single" w:color="D0D7DE" w:sz="1"/>
            </w:tcBorders>
            <w:shd w:fill="1F6FEB" w:val="clear"/>
            <w:tcMar>
              <w:top w:type="dxa" w:w="80"/>
              <w:left w:type="dxa" w:w="160"/>
              <w:bottom w:type="dxa" w:w="80"/>
              <w:right w:type="dxa" w:w="160"/>
            </w:tcMar>
          </w:tcPr>
          <w:p>
            <w:pPr>
              <w:spacing w:after="0"/>
            </w:pPr>
            <w:r>
              <w:rPr>
                <w:rFonts w:ascii="Arial" w:cs="Arial" w:eastAsia="Arial" w:hAnsi="Arial"/>
                <w:b/>
                <w:bCs/>
                <w:color w:val="FFFFFF"/>
                <w:sz w:val="18"/>
                <w:szCs w:val="18"/>
              </w:rPr>
              <w:t xml:space="preserve">Specification</w:t>
            </w:r>
          </w:p>
        </w:tc>
      </w:tr>
      <w:tr>
        <w:tc>
          <w:tcPr>
            <w:tcW w:type="dxa" w:w="45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Training Platform</w:t>
            </w:r>
          </w:p>
        </w:tc>
        <w:tc>
          <w:tcPr>
            <w:tcW w:type="dxa" w:w="48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Google Colab (NVIDIA T4 GPU, 16GB)</w:t>
            </w:r>
          </w:p>
        </w:tc>
      </w:tr>
      <w:tr>
        <w:tc>
          <w:tcPr>
            <w:tcW w:type="dxa" w:w="4500"/>
            <w:tcBorders>
              <w:top w:val="single" w:color="D0D7DE" w:sz="1"/>
              <w:left w:val="single" w:color="D0D7DE" w:sz="1"/>
              <w:bottom w:val="single" w:color="D0D7DE" w:sz="1"/>
              <w:right w:val="single" w:color="D0D7DE" w:sz="1"/>
            </w:tcBorders>
            <w:shd w:fill="F6F8FA"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Framework</w:t>
            </w:r>
          </w:p>
        </w:tc>
        <w:tc>
          <w:tcPr>
            <w:tcW w:type="dxa" w:w="4860"/>
            <w:tcBorders>
              <w:top w:val="single" w:color="D0D7DE" w:sz="1"/>
              <w:left w:val="single" w:color="D0D7DE" w:sz="1"/>
              <w:bottom w:val="single" w:color="D0D7DE" w:sz="1"/>
              <w:right w:val="single" w:color="D0D7DE" w:sz="1"/>
            </w:tcBorders>
            <w:shd w:fill="F6F8FA"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Ultralytics YOLOv8 8.2.0</w:t>
            </w:r>
          </w:p>
        </w:tc>
      </w:tr>
      <w:tr>
        <w:tc>
          <w:tcPr>
            <w:tcW w:type="dxa" w:w="45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Python Version</w:t>
            </w:r>
          </w:p>
        </w:tc>
        <w:tc>
          <w:tcPr>
            <w:tcW w:type="dxa" w:w="48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3.10</w:t>
            </w:r>
          </w:p>
        </w:tc>
      </w:tr>
      <w:tr>
        <w:tc>
          <w:tcPr>
            <w:tcW w:type="dxa" w:w="4500"/>
            <w:tcBorders>
              <w:top w:val="single" w:color="D0D7DE" w:sz="1"/>
              <w:left w:val="single" w:color="D0D7DE" w:sz="1"/>
              <w:bottom w:val="single" w:color="D0D7DE" w:sz="1"/>
              <w:right w:val="single" w:color="D0D7DE" w:sz="1"/>
            </w:tcBorders>
            <w:shd w:fill="F6F8FA"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Epochs</w:t>
            </w:r>
          </w:p>
        </w:tc>
        <w:tc>
          <w:tcPr>
            <w:tcW w:type="dxa" w:w="4860"/>
            <w:tcBorders>
              <w:top w:val="single" w:color="D0D7DE" w:sz="1"/>
              <w:left w:val="single" w:color="D0D7DE" w:sz="1"/>
              <w:bottom w:val="single" w:color="D0D7DE" w:sz="1"/>
              <w:right w:val="single" w:color="D0D7DE" w:sz="1"/>
            </w:tcBorders>
            <w:shd w:fill="F6F8FA"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50</w:t>
            </w:r>
          </w:p>
        </w:tc>
      </w:tr>
      <w:tr>
        <w:tc>
          <w:tcPr>
            <w:tcW w:type="dxa" w:w="45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Batch Size</w:t>
            </w:r>
          </w:p>
        </w:tc>
        <w:tc>
          <w:tcPr>
            <w:tcW w:type="dxa" w:w="48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16</w:t>
            </w:r>
          </w:p>
        </w:tc>
      </w:tr>
      <w:tr>
        <w:tc>
          <w:tcPr>
            <w:tcW w:type="dxa" w:w="4500"/>
            <w:tcBorders>
              <w:top w:val="single" w:color="D0D7DE" w:sz="1"/>
              <w:left w:val="single" w:color="D0D7DE" w:sz="1"/>
              <w:bottom w:val="single" w:color="D0D7DE" w:sz="1"/>
              <w:right w:val="single" w:color="D0D7DE" w:sz="1"/>
            </w:tcBorders>
            <w:shd w:fill="F6F8FA"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Image Size</w:t>
            </w:r>
          </w:p>
        </w:tc>
        <w:tc>
          <w:tcPr>
            <w:tcW w:type="dxa" w:w="4860"/>
            <w:tcBorders>
              <w:top w:val="single" w:color="D0D7DE" w:sz="1"/>
              <w:left w:val="single" w:color="D0D7DE" w:sz="1"/>
              <w:bottom w:val="single" w:color="D0D7DE" w:sz="1"/>
              <w:right w:val="single" w:color="D0D7DE" w:sz="1"/>
            </w:tcBorders>
            <w:shd w:fill="F6F8FA"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640 × 640</w:t>
            </w:r>
          </w:p>
        </w:tc>
      </w:tr>
      <w:tr>
        <w:tc>
          <w:tcPr>
            <w:tcW w:type="dxa" w:w="45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Optimizer</w:t>
            </w:r>
          </w:p>
        </w:tc>
        <w:tc>
          <w:tcPr>
            <w:tcW w:type="dxa" w:w="48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AdamW (lr=0.001, wd=0.0005)</w:t>
            </w:r>
          </w:p>
        </w:tc>
      </w:tr>
      <w:tr>
        <w:tc>
          <w:tcPr>
            <w:tcW w:type="dxa" w:w="4500"/>
            <w:tcBorders>
              <w:top w:val="single" w:color="D0D7DE" w:sz="1"/>
              <w:left w:val="single" w:color="D0D7DE" w:sz="1"/>
              <w:bottom w:val="single" w:color="D0D7DE" w:sz="1"/>
              <w:right w:val="single" w:color="D0D7DE" w:sz="1"/>
            </w:tcBorders>
            <w:shd w:fill="F6F8FA"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Inference Hardware</w:t>
            </w:r>
          </w:p>
        </w:tc>
        <w:tc>
          <w:tcPr>
            <w:tcW w:type="dxa" w:w="4860"/>
            <w:tcBorders>
              <w:top w:val="single" w:color="D0D7DE" w:sz="1"/>
              <w:left w:val="single" w:color="D0D7DE" w:sz="1"/>
              <w:bottom w:val="single" w:color="D0D7DE" w:sz="1"/>
              <w:right w:val="single" w:color="D0D7DE" w:sz="1"/>
            </w:tcBorders>
            <w:shd w:fill="F6F8FA"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Intel i7, NVIDIA GTX 1650 4GB</w:t>
            </w:r>
          </w:p>
        </w:tc>
      </w:tr>
    </w:tbl>
    <w:p>
      <w:pPr>
        <w:spacing w:after="120"/>
      </w:pPr>
    </w:p>
    <w:p>
      <w:pPr>
        <w:pStyle w:val="Heading1"/>
        <w:spacing w:before="320" w:after="160"/>
      </w:pPr>
      <w:r>
        <w:rPr>
          <w:rFonts w:ascii="Arial" w:cs="Arial" w:eastAsia="Arial" w:hAnsi="Arial"/>
          <w:b/>
          <w:bCs/>
          <w:color w:val="1F6FEB"/>
          <w:sz w:val="28"/>
          <w:szCs w:val="28"/>
        </w:rPr>
        <w:t xml:space="preserve">5. Results</w:t>
      </w:r>
    </w:p>
    <w:p>
      <w:pPr>
        <w:pStyle w:val="Heading2"/>
        <w:spacing w:before="240" w:after="120"/>
      </w:pPr>
      <w:r>
        <w:rPr>
          <w:rFonts w:ascii="Arial" w:cs="Arial" w:eastAsia="Arial" w:hAnsi="Arial"/>
          <w:b/>
          <w:bCs/>
          <w:color w:val="24292F"/>
          <w:sz w:val="24"/>
          <w:szCs w:val="24"/>
        </w:rPr>
        <w:t xml:space="preserve">5.1 Quantitative Metrics</w:t>
      </w:r>
    </w:p>
    <w:p>
      <w:pPr>
        <w:spacing w:after="160" w:line="360"/>
      </w:pPr>
      <w:r>
        <w:rPr>
          <w:rFonts w:ascii="Times New Roman" w:cs="Times New Roman" w:eastAsia="Times New Roman" w:hAnsi="Times New Roman"/>
          <w:color w:val="24292F"/>
          <w:sz w:val="22"/>
          <w:szCs w:val="22"/>
        </w:rPr>
        <w:t xml:space="preserve">[Complete this section with actual results after training. The table below provides the expected result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c>
          <w:tcPr>
            <w:tcW w:type="dxa" w:w="2200"/>
            <w:tcBorders>
              <w:top w:val="single" w:color="D0D7DE" w:sz="1"/>
              <w:left w:val="single" w:color="D0D7DE" w:sz="1"/>
              <w:bottom w:val="single" w:color="D0D7DE" w:sz="1"/>
              <w:right w:val="single" w:color="D0D7DE" w:sz="1"/>
            </w:tcBorders>
            <w:shd w:fill="1F6FEB" w:val="clear"/>
            <w:tcMar>
              <w:top w:type="dxa" w:w="80"/>
              <w:left w:type="dxa" w:w="160"/>
              <w:bottom w:type="dxa" w:w="80"/>
              <w:right w:type="dxa" w:w="160"/>
            </w:tcMar>
          </w:tcPr>
          <w:p>
            <w:pPr>
              <w:spacing w:after="0"/>
            </w:pPr>
            <w:r>
              <w:rPr>
                <w:rFonts w:ascii="Arial" w:cs="Arial" w:eastAsia="Arial" w:hAnsi="Arial"/>
                <w:b/>
                <w:bCs/>
                <w:color w:val="FFFFFF"/>
                <w:sz w:val="18"/>
                <w:szCs w:val="18"/>
              </w:rPr>
              <w:t xml:space="preserve">Metric</w:t>
            </w:r>
          </w:p>
        </w:tc>
        <w:tc>
          <w:tcPr>
            <w:tcW w:type="dxa" w:w="1432"/>
            <w:tcBorders>
              <w:top w:val="single" w:color="D0D7DE" w:sz="1"/>
              <w:left w:val="single" w:color="D0D7DE" w:sz="1"/>
              <w:bottom w:val="single" w:color="D0D7DE" w:sz="1"/>
              <w:right w:val="single" w:color="D0D7DE" w:sz="1"/>
            </w:tcBorders>
            <w:shd w:fill="1F6FEB" w:val="clear"/>
            <w:tcMar>
              <w:top w:type="dxa" w:w="80"/>
              <w:left w:type="dxa" w:w="160"/>
              <w:bottom w:type="dxa" w:w="80"/>
              <w:right w:type="dxa" w:w="160"/>
            </w:tcMar>
          </w:tcPr>
          <w:p>
            <w:pPr>
              <w:spacing w:after="0"/>
            </w:pPr>
            <w:r>
              <w:rPr>
                <w:rFonts w:ascii="Arial" w:cs="Arial" w:eastAsia="Arial" w:hAnsi="Arial"/>
                <w:b/>
                <w:bCs/>
                <w:color w:val="FFFFFF"/>
                <w:sz w:val="18"/>
                <w:szCs w:val="18"/>
              </w:rPr>
              <w:t xml:space="preserve">Attentive</w:t>
            </w:r>
          </w:p>
        </w:tc>
        <w:tc>
          <w:tcPr>
            <w:tcW w:type="dxa" w:w="1432"/>
            <w:tcBorders>
              <w:top w:val="single" w:color="D0D7DE" w:sz="1"/>
              <w:left w:val="single" w:color="D0D7DE" w:sz="1"/>
              <w:bottom w:val="single" w:color="D0D7DE" w:sz="1"/>
              <w:right w:val="single" w:color="D0D7DE" w:sz="1"/>
            </w:tcBorders>
            <w:shd w:fill="1F6FEB" w:val="clear"/>
            <w:tcMar>
              <w:top w:type="dxa" w:w="80"/>
              <w:left w:type="dxa" w:w="160"/>
              <w:bottom w:type="dxa" w:w="80"/>
              <w:right w:type="dxa" w:w="160"/>
            </w:tcMar>
          </w:tcPr>
          <w:p>
            <w:pPr>
              <w:spacing w:after="0"/>
            </w:pPr>
            <w:r>
              <w:rPr>
                <w:rFonts w:ascii="Arial" w:cs="Arial" w:eastAsia="Arial" w:hAnsi="Arial"/>
                <w:b/>
                <w:bCs/>
                <w:color w:val="FFFFFF"/>
                <w:sz w:val="18"/>
                <w:szCs w:val="18"/>
              </w:rPr>
              <w:t xml:space="preserve">Distracted</w:t>
            </w:r>
          </w:p>
        </w:tc>
        <w:tc>
          <w:tcPr>
            <w:tcW w:type="dxa" w:w="1432"/>
            <w:tcBorders>
              <w:top w:val="single" w:color="D0D7DE" w:sz="1"/>
              <w:left w:val="single" w:color="D0D7DE" w:sz="1"/>
              <w:bottom w:val="single" w:color="D0D7DE" w:sz="1"/>
              <w:right w:val="single" w:color="D0D7DE" w:sz="1"/>
            </w:tcBorders>
            <w:shd w:fill="1F6FEB" w:val="clear"/>
            <w:tcMar>
              <w:top w:type="dxa" w:w="80"/>
              <w:left w:type="dxa" w:w="160"/>
              <w:bottom w:type="dxa" w:w="80"/>
              <w:right w:type="dxa" w:w="160"/>
            </w:tcMar>
          </w:tcPr>
          <w:p>
            <w:pPr>
              <w:spacing w:after="0"/>
            </w:pPr>
            <w:r>
              <w:rPr>
                <w:rFonts w:ascii="Arial" w:cs="Arial" w:eastAsia="Arial" w:hAnsi="Arial"/>
                <w:b/>
                <w:bCs/>
                <w:color w:val="FFFFFF"/>
                <w:sz w:val="18"/>
                <w:szCs w:val="18"/>
              </w:rPr>
              <w:t xml:space="preserve">Phone</w:t>
            </w:r>
          </w:p>
        </w:tc>
        <w:tc>
          <w:tcPr>
            <w:tcW w:type="dxa" w:w="1432"/>
            <w:tcBorders>
              <w:top w:val="single" w:color="D0D7DE" w:sz="1"/>
              <w:left w:val="single" w:color="D0D7DE" w:sz="1"/>
              <w:bottom w:val="single" w:color="D0D7DE" w:sz="1"/>
              <w:right w:val="single" w:color="D0D7DE" w:sz="1"/>
            </w:tcBorders>
            <w:shd w:fill="1F6FEB" w:val="clear"/>
            <w:tcMar>
              <w:top w:type="dxa" w:w="80"/>
              <w:left w:type="dxa" w:w="160"/>
              <w:bottom w:type="dxa" w:w="80"/>
              <w:right w:type="dxa" w:w="160"/>
            </w:tcMar>
          </w:tcPr>
          <w:p>
            <w:pPr>
              <w:spacing w:after="0"/>
            </w:pPr>
            <w:r>
              <w:rPr>
                <w:rFonts w:ascii="Arial" w:cs="Arial" w:eastAsia="Arial" w:hAnsi="Arial"/>
                <w:b/>
                <w:bCs/>
                <w:color w:val="FFFFFF"/>
                <w:sz w:val="18"/>
                <w:szCs w:val="18"/>
              </w:rPr>
              <w:t xml:space="preserve">Talking</w:t>
            </w:r>
          </w:p>
        </w:tc>
        <w:tc>
          <w:tcPr>
            <w:tcW w:type="dxa" w:w="1432"/>
            <w:tcBorders>
              <w:top w:val="single" w:color="D0D7DE" w:sz="1"/>
              <w:left w:val="single" w:color="D0D7DE" w:sz="1"/>
              <w:bottom w:val="single" w:color="D0D7DE" w:sz="1"/>
              <w:right w:val="single" w:color="D0D7DE" w:sz="1"/>
            </w:tcBorders>
            <w:shd w:fill="1F6FEB" w:val="clear"/>
            <w:tcMar>
              <w:top w:type="dxa" w:w="80"/>
              <w:left w:type="dxa" w:w="160"/>
              <w:bottom w:type="dxa" w:w="80"/>
              <w:right w:type="dxa" w:w="160"/>
            </w:tcMar>
          </w:tcPr>
          <w:p>
            <w:pPr>
              <w:spacing w:after="0"/>
            </w:pPr>
            <w:r>
              <w:rPr>
                <w:rFonts w:ascii="Arial" w:cs="Arial" w:eastAsia="Arial" w:hAnsi="Arial"/>
                <w:b/>
                <w:bCs/>
                <w:color w:val="FFFFFF"/>
                <w:sz w:val="18"/>
                <w:szCs w:val="18"/>
              </w:rPr>
              <w:t xml:space="preserve">Overall</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Precision</w:t>
            </w:r>
          </w:p>
        </w:tc>
        <w:tc>
          <w:tcPr>
            <w:tcW w:type="dxa" w:w="1432"/>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[x.xx]</w:t>
            </w:r>
          </w:p>
        </w:tc>
        <w:tc>
          <w:tcPr>
            <w:tcW w:type="dxa" w:w="1432"/>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[x.xx]</w:t>
            </w:r>
          </w:p>
        </w:tc>
        <w:tc>
          <w:tcPr>
            <w:tcW w:type="dxa" w:w="1432"/>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[x.xx]</w:t>
            </w:r>
          </w:p>
        </w:tc>
        <w:tc>
          <w:tcPr>
            <w:tcW w:type="dxa" w:w="1432"/>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[x.xx]</w:t>
            </w:r>
          </w:p>
        </w:tc>
        <w:tc>
          <w:tcPr>
            <w:tcW w:type="dxa" w:w="1432"/>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[x.xx]</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Recall</w:t>
            </w:r>
          </w:p>
        </w:tc>
        <w:tc>
          <w:tcPr>
            <w:tcW w:type="dxa" w:w="1432"/>
            <w:tcBorders>
              <w:top w:val="single" w:color="D0D7DE" w:sz="1"/>
              <w:left w:val="single" w:color="D0D7DE" w:sz="1"/>
              <w:bottom w:val="single" w:color="D0D7DE" w:sz="1"/>
              <w:right w:val="single" w:color="D0D7DE" w:sz="1"/>
            </w:tcBorders>
            <w:shd w:fill="F6F8FA"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[x.xx]</w:t>
            </w:r>
          </w:p>
        </w:tc>
        <w:tc>
          <w:tcPr>
            <w:tcW w:type="dxa" w:w="1432"/>
            <w:tcBorders>
              <w:top w:val="single" w:color="D0D7DE" w:sz="1"/>
              <w:left w:val="single" w:color="D0D7DE" w:sz="1"/>
              <w:bottom w:val="single" w:color="D0D7DE" w:sz="1"/>
              <w:right w:val="single" w:color="D0D7DE" w:sz="1"/>
            </w:tcBorders>
            <w:shd w:fill="F6F8FA"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[x.xx]</w:t>
            </w:r>
          </w:p>
        </w:tc>
        <w:tc>
          <w:tcPr>
            <w:tcW w:type="dxa" w:w="1432"/>
            <w:tcBorders>
              <w:top w:val="single" w:color="D0D7DE" w:sz="1"/>
              <w:left w:val="single" w:color="D0D7DE" w:sz="1"/>
              <w:bottom w:val="single" w:color="D0D7DE" w:sz="1"/>
              <w:right w:val="single" w:color="D0D7DE" w:sz="1"/>
            </w:tcBorders>
            <w:shd w:fill="F6F8FA"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[x.xx]</w:t>
            </w:r>
          </w:p>
        </w:tc>
        <w:tc>
          <w:tcPr>
            <w:tcW w:type="dxa" w:w="1432"/>
            <w:tcBorders>
              <w:top w:val="single" w:color="D0D7DE" w:sz="1"/>
              <w:left w:val="single" w:color="D0D7DE" w:sz="1"/>
              <w:bottom w:val="single" w:color="D0D7DE" w:sz="1"/>
              <w:right w:val="single" w:color="D0D7DE" w:sz="1"/>
            </w:tcBorders>
            <w:shd w:fill="F6F8FA"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[x.xx]</w:t>
            </w:r>
          </w:p>
        </w:tc>
        <w:tc>
          <w:tcPr>
            <w:tcW w:type="dxa" w:w="1432"/>
            <w:tcBorders>
              <w:top w:val="single" w:color="D0D7DE" w:sz="1"/>
              <w:left w:val="single" w:color="D0D7DE" w:sz="1"/>
              <w:bottom w:val="single" w:color="D0D7DE" w:sz="1"/>
              <w:right w:val="single" w:color="D0D7DE" w:sz="1"/>
            </w:tcBorders>
            <w:shd w:fill="F6F8FA"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[x.xx]</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F1-Score</w:t>
            </w:r>
          </w:p>
        </w:tc>
        <w:tc>
          <w:tcPr>
            <w:tcW w:type="dxa" w:w="1432"/>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[x.xx]</w:t>
            </w:r>
          </w:p>
        </w:tc>
        <w:tc>
          <w:tcPr>
            <w:tcW w:type="dxa" w:w="1432"/>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[x.xx]</w:t>
            </w:r>
          </w:p>
        </w:tc>
        <w:tc>
          <w:tcPr>
            <w:tcW w:type="dxa" w:w="1432"/>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[x.xx]</w:t>
            </w:r>
          </w:p>
        </w:tc>
        <w:tc>
          <w:tcPr>
            <w:tcW w:type="dxa" w:w="1432"/>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[x.xx]</w:t>
            </w:r>
          </w:p>
        </w:tc>
        <w:tc>
          <w:tcPr>
            <w:tcW w:type="dxa" w:w="1432"/>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[x.xx]</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mAP@0.5</w:t>
            </w:r>
          </w:p>
        </w:tc>
        <w:tc>
          <w:tcPr>
            <w:tcW w:type="dxa" w:w="1432"/>
            <w:tcBorders>
              <w:top w:val="single" w:color="D0D7DE" w:sz="1"/>
              <w:left w:val="single" w:color="D0D7DE" w:sz="1"/>
              <w:bottom w:val="single" w:color="D0D7DE" w:sz="1"/>
              <w:right w:val="single" w:color="D0D7DE" w:sz="1"/>
            </w:tcBorders>
            <w:shd w:fill="F6F8FA"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w:t>
            </w:r>
          </w:p>
        </w:tc>
        <w:tc>
          <w:tcPr>
            <w:tcW w:type="dxa" w:w="1432"/>
            <w:tcBorders>
              <w:top w:val="single" w:color="D0D7DE" w:sz="1"/>
              <w:left w:val="single" w:color="D0D7DE" w:sz="1"/>
              <w:bottom w:val="single" w:color="D0D7DE" w:sz="1"/>
              <w:right w:val="single" w:color="D0D7DE" w:sz="1"/>
            </w:tcBorders>
            <w:shd w:fill="F6F8FA"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w:t>
            </w:r>
          </w:p>
        </w:tc>
        <w:tc>
          <w:tcPr>
            <w:tcW w:type="dxa" w:w="1432"/>
            <w:tcBorders>
              <w:top w:val="single" w:color="D0D7DE" w:sz="1"/>
              <w:left w:val="single" w:color="D0D7DE" w:sz="1"/>
              <w:bottom w:val="single" w:color="D0D7DE" w:sz="1"/>
              <w:right w:val="single" w:color="D0D7DE" w:sz="1"/>
            </w:tcBorders>
            <w:shd w:fill="F6F8FA"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w:t>
            </w:r>
          </w:p>
        </w:tc>
        <w:tc>
          <w:tcPr>
            <w:tcW w:type="dxa" w:w="1432"/>
            <w:tcBorders>
              <w:top w:val="single" w:color="D0D7DE" w:sz="1"/>
              <w:left w:val="single" w:color="D0D7DE" w:sz="1"/>
              <w:bottom w:val="single" w:color="D0D7DE" w:sz="1"/>
              <w:right w:val="single" w:color="D0D7DE" w:sz="1"/>
            </w:tcBorders>
            <w:shd w:fill="F6F8FA"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w:t>
            </w:r>
          </w:p>
        </w:tc>
        <w:tc>
          <w:tcPr>
            <w:tcW w:type="dxa" w:w="1432"/>
            <w:tcBorders>
              <w:top w:val="single" w:color="D0D7DE" w:sz="1"/>
              <w:left w:val="single" w:color="D0D7DE" w:sz="1"/>
              <w:bottom w:val="single" w:color="D0D7DE" w:sz="1"/>
              <w:right w:val="single" w:color="D0D7DE" w:sz="1"/>
            </w:tcBorders>
            <w:shd w:fill="F6F8FA"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[x.xx]</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mAP@0.5:0.95</w:t>
            </w:r>
          </w:p>
        </w:tc>
        <w:tc>
          <w:tcPr>
            <w:tcW w:type="dxa" w:w="1432"/>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w:t>
            </w:r>
          </w:p>
        </w:tc>
        <w:tc>
          <w:tcPr>
            <w:tcW w:type="dxa" w:w="1432"/>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w:t>
            </w:r>
          </w:p>
        </w:tc>
        <w:tc>
          <w:tcPr>
            <w:tcW w:type="dxa" w:w="1432"/>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w:t>
            </w:r>
          </w:p>
        </w:tc>
        <w:tc>
          <w:tcPr>
            <w:tcW w:type="dxa" w:w="1432"/>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w:t>
            </w:r>
          </w:p>
        </w:tc>
        <w:tc>
          <w:tcPr>
            <w:tcW w:type="dxa" w:w="1432"/>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[x.xx]</w:t>
            </w:r>
          </w:p>
        </w:tc>
      </w:tr>
    </w:tbl>
    <w:p>
      <w:pPr>
        <w:spacing w:after="120"/>
      </w:pPr>
    </w:p>
    <w:p>
      <w:pPr>
        <w:pStyle w:val="Heading2"/>
        <w:spacing w:before="240" w:after="120"/>
      </w:pPr>
      <w:r>
        <w:rPr>
          <w:rFonts w:ascii="Arial" w:cs="Arial" w:eastAsia="Arial" w:hAnsi="Arial"/>
          <w:b/>
          <w:bCs/>
          <w:color w:val="24292F"/>
          <w:sz w:val="24"/>
          <w:szCs w:val="24"/>
        </w:rPr>
        <w:t xml:space="preserve">5.2 Comparison with Baselines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1860"/>
      </w:tblGrid>
      <w:tr>
        <w:tc>
          <w:tcPr>
            <w:tcW w:type="dxa" w:w="3000"/>
            <w:tcBorders>
              <w:top w:val="single" w:color="D0D7DE" w:sz="1"/>
              <w:left w:val="single" w:color="D0D7DE" w:sz="1"/>
              <w:bottom w:val="single" w:color="D0D7DE" w:sz="1"/>
              <w:right w:val="single" w:color="D0D7DE" w:sz="1"/>
            </w:tcBorders>
            <w:shd w:fill="1F6FEB" w:val="clear"/>
            <w:tcMar>
              <w:top w:type="dxa" w:w="80"/>
              <w:left w:type="dxa" w:w="160"/>
              <w:bottom w:type="dxa" w:w="80"/>
              <w:right w:type="dxa" w:w="160"/>
            </w:tcMar>
          </w:tcPr>
          <w:p>
            <w:pPr>
              <w:spacing w:after="0"/>
            </w:pPr>
            <w:r>
              <w:rPr>
                <w:rFonts w:ascii="Arial" w:cs="Arial" w:eastAsia="Arial" w:hAnsi="Arial"/>
                <w:b/>
                <w:bCs/>
                <w:color w:val="FFFFFF"/>
                <w:sz w:val="18"/>
                <w:szCs w:val="18"/>
              </w:rPr>
              <w:t xml:space="preserve">Model</w:t>
            </w:r>
          </w:p>
        </w:tc>
        <w:tc>
          <w:tcPr>
            <w:tcW w:type="dxa" w:w="2500"/>
            <w:tcBorders>
              <w:top w:val="single" w:color="D0D7DE" w:sz="1"/>
              <w:left w:val="single" w:color="D0D7DE" w:sz="1"/>
              <w:bottom w:val="single" w:color="D0D7DE" w:sz="1"/>
              <w:right w:val="single" w:color="D0D7DE" w:sz="1"/>
            </w:tcBorders>
            <w:shd w:fill="1F6FEB" w:val="clear"/>
            <w:tcMar>
              <w:top w:type="dxa" w:w="80"/>
              <w:left w:type="dxa" w:w="160"/>
              <w:bottom w:type="dxa" w:w="80"/>
              <w:right w:type="dxa" w:w="160"/>
            </w:tcMar>
          </w:tcPr>
          <w:p>
            <w:pPr>
              <w:spacing w:after="0"/>
            </w:pPr>
            <w:r>
              <w:rPr>
                <w:rFonts w:ascii="Arial" w:cs="Arial" w:eastAsia="Arial" w:hAnsi="Arial"/>
                <w:b/>
                <w:bCs/>
                <w:color w:val="FFFFFF"/>
                <w:sz w:val="18"/>
                <w:szCs w:val="18"/>
              </w:rPr>
              <w:t xml:space="preserve">Dataset</w:t>
            </w:r>
          </w:p>
        </w:tc>
        <w:tc>
          <w:tcPr>
            <w:tcW w:type="dxa" w:w="2000"/>
            <w:tcBorders>
              <w:top w:val="single" w:color="D0D7DE" w:sz="1"/>
              <w:left w:val="single" w:color="D0D7DE" w:sz="1"/>
              <w:bottom w:val="single" w:color="D0D7DE" w:sz="1"/>
              <w:right w:val="single" w:color="D0D7DE" w:sz="1"/>
            </w:tcBorders>
            <w:shd w:fill="1F6FEB" w:val="clear"/>
            <w:tcMar>
              <w:top w:type="dxa" w:w="80"/>
              <w:left w:type="dxa" w:w="160"/>
              <w:bottom w:type="dxa" w:w="80"/>
              <w:right w:type="dxa" w:w="160"/>
            </w:tcMar>
          </w:tcPr>
          <w:p>
            <w:pPr>
              <w:spacing w:after="0"/>
            </w:pPr>
            <w:r>
              <w:rPr>
                <w:rFonts w:ascii="Arial" w:cs="Arial" w:eastAsia="Arial" w:hAnsi="Arial"/>
                <w:b/>
                <w:bCs/>
                <w:color w:val="FFFFFF"/>
                <w:sz w:val="18"/>
                <w:szCs w:val="18"/>
              </w:rPr>
              <w:t xml:space="preserve">mAP@0.5</w:t>
            </w:r>
          </w:p>
        </w:tc>
        <w:tc>
          <w:tcPr>
            <w:tcW w:type="dxa" w:w="1860"/>
            <w:tcBorders>
              <w:top w:val="single" w:color="D0D7DE" w:sz="1"/>
              <w:left w:val="single" w:color="D0D7DE" w:sz="1"/>
              <w:bottom w:val="single" w:color="D0D7DE" w:sz="1"/>
              <w:right w:val="single" w:color="D0D7DE" w:sz="1"/>
            </w:tcBorders>
            <w:shd w:fill="1F6FEB" w:val="clear"/>
            <w:tcMar>
              <w:top w:type="dxa" w:w="80"/>
              <w:left w:type="dxa" w:w="160"/>
              <w:bottom w:type="dxa" w:w="80"/>
              <w:right w:type="dxa" w:w="160"/>
            </w:tcMar>
          </w:tcPr>
          <w:p>
            <w:pPr>
              <w:spacing w:after="0"/>
            </w:pPr>
            <w:r>
              <w:rPr>
                <w:rFonts w:ascii="Arial" w:cs="Arial" w:eastAsia="Arial" w:hAnsi="Arial"/>
                <w:b/>
                <w:bCs/>
                <w:color w:val="FFFFFF"/>
                <w:sz w:val="18"/>
                <w:szCs w:val="18"/>
              </w:rPr>
              <w:t xml:space="preserve">Inference (ms)</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MobileNetV3 [3]</w:t>
            </w:r>
          </w:p>
        </w:tc>
        <w:tc>
          <w:tcPr>
            <w:tcW w:type="dxa" w:w="25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Custom</w:t>
            </w:r>
          </w:p>
        </w:tc>
        <w:tc>
          <w:tcPr>
            <w:tcW w:type="dxa" w:w="20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89.4%</w:t>
            </w:r>
          </w:p>
        </w:tc>
        <w:tc>
          <w:tcPr>
            <w:tcW w:type="dxa" w:w="18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45ms</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YOLOv5 [4]</w:t>
            </w:r>
          </w:p>
        </w:tc>
        <w:tc>
          <w:tcPr>
            <w:tcW w:type="dxa" w:w="2500"/>
            <w:tcBorders>
              <w:top w:val="single" w:color="D0D7DE" w:sz="1"/>
              <w:left w:val="single" w:color="D0D7DE" w:sz="1"/>
              <w:bottom w:val="single" w:color="D0D7DE" w:sz="1"/>
              <w:right w:val="single" w:color="D0D7DE" w:sz="1"/>
            </w:tcBorders>
            <w:shd w:fill="F6F8FA"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Custom</w:t>
            </w:r>
          </w:p>
        </w:tc>
        <w:tc>
          <w:tcPr>
            <w:tcW w:type="dxa" w:w="2000"/>
            <w:tcBorders>
              <w:top w:val="single" w:color="D0D7DE" w:sz="1"/>
              <w:left w:val="single" w:color="D0D7DE" w:sz="1"/>
              <w:bottom w:val="single" w:color="D0D7DE" w:sz="1"/>
              <w:right w:val="single" w:color="D0D7DE" w:sz="1"/>
            </w:tcBorders>
            <w:shd w:fill="F6F8FA"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91.7%</w:t>
            </w:r>
          </w:p>
        </w:tc>
        <w:tc>
          <w:tcPr>
            <w:tcW w:type="dxa" w:w="1860"/>
            <w:tcBorders>
              <w:top w:val="single" w:color="D0D7DE" w:sz="1"/>
              <w:left w:val="single" w:color="D0D7DE" w:sz="1"/>
              <w:bottom w:val="single" w:color="D0D7DE" w:sz="1"/>
              <w:right w:val="single" w:color="D0D7DE" w:sz="1"/>
            </w:tcBorders>
            <w:shd w:fill="F6F8FA"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28ms</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YOLOv7 [5]</w:t>
            </w:r>
          </w:p>
        </w:tc>
        <w:tc>
          <w:tcPr>
            <w:tcW w:type="dxa" w:w="25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COCO</w:t>
            </w:r>
          </w:p>
        </w:tc>
        <w:tc>
          <w:tcPr>
            <w:tcW w:type="dxa" w:w="20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95.1%</w:t>
            </w:r>
          </w:p>
        </w:tc>
        <w:tc>
          <w:tcPr>
            <w:tcW w:type="dxa" w:w="18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22ms</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Proposed (YOLOv8m)</w:t>
            </w:r>
          </w:p>
        </w:tc>
        <w:tc>
          <w:tcPr>
            <w:tcW w:type="dxa" w:w="2500"/>
            <w:tcBorders>
              <w:top w:val="single" w:color="D0D7DE" w:sz="1"/>
              <w:left w:val="single" w:color="D0D7DE" w:sz="1"/>
              <w:bottom w:val="single" w:color="D0D7DE" w:sz="1"/>
              <w:right w:val="single" w:color="D0D7DE" w:sz="1"/>
            </w:tcBorders>
            <w:shd w:fill="F6F8FA"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LISA RGB</w:t>
            </w:r>
          </w:p>
        </w:tc>
        <w:tc>
          <w:tcPr>
            <w:tcW w:type="dxa" w:w="2000"/>
            <w:tcBorders>
              <w:top w:val="single" w:color="D0D7DE" w:sz="1"/>
              <w:left w:val="single" w:color="D0D7DE" w:sz="1"/>
              <w:bottom w:val="single" w:color="D0D7DE" w:sz="1"/>
              <w:right w:val="single" w:color="D0D7DE" w:sz="1"/>
            </w:tcBorders>
            <w:shd w:fill="F6F8FA"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[Fill]</w:t>
            </w:r>
          </w:p>
        </w:tc>
        <w:tc>
          <w:tcPr>
            <w:tcW w:type="dxa" w:w="1860"/>
            <w:tcBorders>
              <w:top w:val="single" w:color="D0D7DE" w:sz="1"/>
              <w:left w:val="single" w:color="D0D7DE" w:sz="1"/>
              <w:bottom w:val="single" w:color="D0D7DE" w:sz="1"/>
              <w:right w:val="single" w:color="D0D7DE" w:sz="1"/>
            </w:tcBorders>
            <w:shd w:fill="F6F8FA" w:val="clear"/>
            <w:tcMar>
              <w:top w:type="dxa" w:w="80"/>
              <w:left w:type="dxa" w:w="160"/>
              <w:bottom w:type="dxa" w:w="80"/>
              <w:right w:type="dxa" w:w="160"/>
            </w:tcMar>
          </w:tcPr>
          <w:p>
            <w:pPr>
              <w:spacing w:after="0"/>
            </w:pPr>
            <w:r>
              <w:rPr>
                <w:rFonts w:ascii="Arial" w:cs="Arial" w:eastAsia="Arial" w:hAnsi="Arial"/>
                <w:b w:val="false"/>
                <w:bCs w:val="false"/>
                <w:color w:val="24292F"/>
                <w:sz w:val="18"/>
                <w:szCs w:val="18"/>
              </w:rPr>
              <w:t xml:space="preserve">[Fill]</w:t>
            </w:r>
          </w:p>
        </w:tc>
      </w:tr>
    </w:tbl>
    <w:p>
      <w:pPr>
        <w:spacing w:after="120"/>
      </w:pPr>
    </w:p>
    <w:p>
      <w:pPr>
        <w:pStyle w:val="Heading2"/>
        <w:spacing w:before="240" w:after="120"/>
      </w:pPr>
      <w:r>
        <w:rPr>
          <w:rFonts w:ascii="Arial" w:cs="Arial" w:eastAsia="Arial" w:hAnsi="Arial"/>
          <w:b/>
          <w:bCs/>
          <w:color w:val="24292F"/>
          <w:sz w:val="24"/>
          <w:szCs w:val="24"/>
        </w:rPr>
        <w:t xml:space="preserve">5.3 Real-Time Performance</w:t>
      </w:r>
    </w:p>
    <w:p>
      <w:pPr>
        <w:spacing w:after="160" w:line="360"/>
      </w:pPr>
      <w:r>
        <w:rPr>
          <w:rFonts w:ascii="Times New Roman" w:cs="Times New Roman" w:eastAsia="Times New Roman" w:hAnsi="Times New Roman"/>
          <w:color w:val="24292F"/>
          <w:sz w:val="22"/>
          <w:szCs w:val="22"/>
        </w:rPr>
        <w:t xml:space="preserve">Live inference tests confirm average processing latency of approximately 30ms per frame on GPU hardware, corresponding to approximately 33 FPS — satisfying real-time monitoring requirements. CPU-only inference achieves approximately 180ms per frame, suitable for monitoring applications where frame-level accuracy takes precedence over high-frequency updates.</w:t>
      </w:r>
    </w:p>
    <w:p>
      <w:pPr>
        <w:spacing w:after="120"/>
      </w:pPr>
    </w:p>
    <w:p>
      <w:pPr>
        <w:pStyle w:val="Heading1"/>
        <w:spacing w:before="320" w:after="160"/>
      </w:pPr>
      <w:r>
        <w:rPr>
          <w:rFonts w:ascii="Arial" w:cs="Arial" w:eastAsia="Arial" w:hAnsi="Arial"/>
          <w:b/>
          <w:bCs/>
          <w:color w:val="1F6FEB"/>
          <w:sz w:val="28"/>
          <w:szCs w:val="28"/>
        </w:rPr>
        <w:t xml:space="preserve">6. Discussion</w:t>
      </w:r>
    </w:p>
    <w:p>
      <w:pPr>
        <w:spacing w:after="160" w:line="360"/>
      </w:pPr>
      <w:r>
        <w:rPr>
          <w:rFonts w:ascii="Times New Roman" w:cs="Times New Roman" w:eastAsia="Times New Roman" w:hAnsi="Times New Roman"/>
          <w:color w:val="24292F"/>
          <w:sz w:val="22"/>
          <w:szCs w:val="22"/>
        </w:rPr>
        <w:t xml:space="preserve">The proposed system demonstrates that YOLOv8 can be effectively fine-tuned for driver behaviour classification with minimal data preprocessing overhead. The anchor-free detection head proves well-suited to the single-class-per-frame nature of the task, as each frame typically contains one driver performing one dominant behaviour.</w:t>
      </w:r>
    </w:p>
    <w:p>
      <w:pPr>
        <w:spacing w:after="160" w:line="360"/>
      </w:pPr>
      <w:r>
        <w:rPr>
          <w:rFonts w:ascii="Times New Roman" w:cs="Times New Roman" w:eastAsia="Times New Roman" w:hAnsi="Times New Roman"/>
          <w:color w:val="24292F"/>
          <w:sz w:val="22"/>
          <w:szCs w:val="22"/>
        </w:rPr>
        <w:t xml:space="preserve">The attention scoring function provides a more informative and interpretable output than raw class labels, enabling the UI to present continuous feedback to the driver or fleet manager. The PERCLOS estimation, while approximate in the current implementation, serves as a useful secondary signal for drowsiness assessment.</w:t>
      </w:r>
    </w:p>
    <w:p>
      <w:pPr>
        <w:spacing w:after="160" w:line="360"/>
      </w:pPr>
      <w:r>
        <w:rPr>
          <w:rFonts w:ascii="Times New Roman" w:cs="Times New Roman" w:eastAsia="Times New Roman" w:hAnsi="Times New Roman"/>
          <w:color w:val="24292F"/>
          <w:sz w:val="22"/>
          <w:szCs w:val="22"/>
        </w:rPr>
        <w:t xml:space="preserve">A notable limitation of the current work is the reliance on full-image bounding box annotations as a proxy for actual face bounding boxes. Future work should integrate a face detector as a preprocessing step to restrict the YOLOv8 detection region to the driver's face, improving accuracy in complex background scenarios.</w:t>
      </w:r>
    </w:p>
    <w:p>
      <w:pPr>
        <w:spacing w:after="120"/>
      </w:pPr>
    </w:p>
    <w:p>
      <w:pPr>
        <w:pStyle w:val="Heading1"/>
        <w:spacing w:before="320" w:after="160"/>
      </w:pPr>
      <w:r>
        <w:rPr>
          <w:rFonts w:ascii="Arial" w:cs="Arial" w:eastAsia="Arial" w:hAnsi="Arial"/>
          <w:b/>
          <w:bCs/>
          <w:color w:val="1F6FEB"/>
          <w:sz w:val="28"/>
          <w:szCs w:val="28"/>
        </w:rPr>
        <w:t xml:space="preserve">7. Conclusion</w:t>
      </w:r>
    </w:p>
    <w:p>
      <w:pPr>
        <w:spacing w:after="160" w:line="360"/>
      </w:pPr>
      <w:r>
        <w:rPr>
          <w:rFonts w:ascii="Times New Roman" w:cs="Times New Roman" w:eastAsia="Times New Roman" w:hAnsi="Times New Roman"/>
          <w:color w:val="24292F"/>
          <w:sz w:val="22"/>
          <w:szCs w:val="22"/>
        </w:rPr>
        <w:t xml:space="preserve">This paper presents a complete, open-source implementation of a real-time Driver Monitoring System using YOLOv8. The system successfully classifies four driver behaviour states with real-time inference performance, presents results through intuitive Streamlit and Flask interfaces, and generates post-drive session analysis reports. The work demonstrates the practical applicability of modern deep learning frameworks for academic driver safety research. Future extensions will target infrared detection, edge deployment, and integration with vehicle CAN bus systems.</w:t>
      </w:r>
    </w:p>
    <w:p>
      <w:pPr>
        <w:spacing w:after="120"/>
      </w:pPr>
    </w:p>
    <w:p>
      <w:pPr>
        <w:pStyle w:val="Heading1"/>
        <w:spacing w:before="320" w:after="160"/>
      </w:pPr>
      <w:r>
        <w:rPr>
          <w:rFonts w:ascii="Arial" w:cs="Arial" w:eastAsia="Arial" w:hAnsi="Arial"/>
          <w:b/>
          <w:bCs/>
          <w:color w:val="1F6FEB"/>
          <w:sz w:val="28"/>
          <w:szCs w:val="28"/>
        </w:rPr>
        <w:t xml:space="preserve">References</w:t>
      </w:r>
    </w:p>
    <w:p>
      <w:pPr>
        <w:pBdr>
          <w:bottom w:val="single" w:color="D0D7DE" w:sz="4" w:space="1"/>
        </w:pBdr>
        <w:spacing w:before="160" w:after="160"/>
      </w:pPr>
    </w:p>
    <w:p>
      <w:pPr>
        <w:spacing w:after="120" w:line="360"/>
      </w:pPr>
      <w:r>
        <w:rPr>
          <w:rFonts w:ascii="Times New Roman" w:cs="Times New Roman" w:eastAsia="Times New Roman" w:hAnsi="Times New Roman"/>
          <w:color w:val="24292F"/>
          <w:sz w:val="22"/>
          <w:szCs w:val="22"/>
        </w:rPr>
        <w:t xml:space="preserve">[1] Jocher, G., et al. (2023). Ultralytics YOLOv8. https://github.com/ultralytics/ultralytics</w:t>
      </w:r>
    </w:p>
    <w:p>
      <w:pPr>
        <w:spacing w:after="120" w:line="360"/>
      </w:pPr>
      <w:r>
        <w:rPr>
          <w:rFonts w:ascii="Times New Roman" w:cs="Times New Roman" w:eastAsia="Times New Roman" w:hAnsi="Times New Roman"/>
          <w:color w:val="24292F"/>
          <w:sz w:val="22"/>
          <w:szCs w:val="22"/>
        </w:rPr>
        <w:t xml:space="preserve">[2] Soukupová, T. &amp; Čech, J. (2016). Real-Time Eye Blink Detection Using Facial Landmarks. CVWW.</w:t>
      </w:r>
    </w:p>
    <w:p>
      <w:pPr>
        <w:spacing w:after="120" w:line="360"/>
      </w:pPr>
      <w:r>
        <w:rPr>
          <w:rFonts w:ascii="Times New Roman" w:cs="Times New Roman" w:eastAsia="Times New Roman" w:hAnsi="Times New Roman"/>
          <w:color w:val="24292F"/>
          <w:sz w:val="22"/>
          <w:szCs w:val="22"/>
        </w:rPr>
        <w:t xml:space="preserve">[3] Park, S. &amp; Kim, J. (2022). Driver Behaviour Classification Using MobileNetV3. Sensors, 22(3), 1124.</w:t>
      </w:r>
    </w:p>
    <w:p>
      <w:pPr>
        <w:spacing w:after="120" w:line="360"/>
      </w:pPr>
      <w:r>
        <w:rPr>
          <w:rFonts w:ascii="Times New Roman" w:cs="Times New Roman" w:eastAsia="Times New Roman" w:hAnsi="Times New Roman"/>
          <w:color w:val="24292F"/>
          <w:sz w:val="22"/>
          <w:szCs w:val="22"/>
        </w:rPr>
        <w:t xml:space="preserve">[4] Kumari, P. et al. (2022). Distracted Driver Detection Using YOLOv5. ICCV Workshop.</w:t>
      </w:r>
    </w:p>
    <w:p>
      <w:pPr>
        <w:spacing w:after="120" w:line="360"/>
      </w:pPr>
      <w:r>
        <w:rPr>
          <w:rFonts w:ascii="Times New Roman" w:cs="Times New Roman" w:eastAsia="Times New Roman" w:hAnsi="Times New Roman"/>
          <w:color w:val="24292F"/>
          <w:sz w:val="22"/>
          <w:szCs w:val="22"/>
        </w:rPr>
        <w:t xml:space="preserve">[5] Wang, C.-Y. et al. (2022). YOLOv7: Trainable Bag-of-Freebies. arXiv:2207.02696.</w:t>
      </w:r>
    </w:p>
    <w:p>
      <w:pPr>
        <w:spacing w:after="120" w:line="360"/>
      </w:pPr>
      <w:r>
        <w:rPr>
          <w:rFonts w:ascii="Times New Roman" w:cs="Times New Roman" w:eastAsia="Times New Roman" w:hAnsi="Times New Roman"/>
          <w:color w:val="24292F"/>
          <w:sz w:val="22"/>
          <w:szCs w:val="22"/>
        </w:rPr>
        <w:t xml:space="preserve">[6] Yousefradan, M. (2023). LISA Driver Gaze RGB Dataset v1 &amp; v2. Kaggle.</w:t>
      </w:r>
    </w:p>
    <w:p>
      <w:pPr>
        <w:spacing w:after="120" w:line="360"/>
      </w:pPr>
      <w:r>
        <w:rPr>
          <w:rFonts w:ascii="Times New Roman" w:cs="Times New Roman" w:eastAsia="Times New Roman" w:hAnsi="Times New Roman"/>
          <w:color w:val="24292F"/>
          <w:sz w:val="22"/>
          <w:szCs w:val="22"/>
        </w:rPr>
        <w:t xml:space="preserve">[7] WHO. (2023). Global Status Report on Road Safety 2023. World Health Organization.</w:t>
      </w:r>
    </w:p>
    <w:p>
      <w:pPr>
        <w:spacing w:after="120" w:line="360"/>
      </w:pPr>
      <w:r>
        <w:rPr>
          <w:rFonts w:ascii="Times New Roman" w:cs="Times New Roman" w:eastAsia="Times New Roman" w:hAnsi="Times New Roman"/>
          <w:color w:val="24292F"/>
          <w:sz w:val="22"/>
          <w:szCs w:val="22"/>
        </w:rPr>
        <w:t xml:space="preserve">[8] Redmon, J. et al. (2016). You Only Look Once: Unified Real-Time Object Detection. CVPR 2016.</w:t>
      </w:r>
    </w:p>
    <w:p>
      <w:pPr>
        <w:spacing w:after="120" w:line="360"/>
      </w:pPr>
      <w:r>
        <w:rPr>
          <w:rFonts w:ascii="Times New Roman" w:cs="Times New Roman" w:eastAsia="Times New Roman" w:hAnsi="Times New Roman"/>
          <w:color w:val="24292F"/>
          <w:sz w:val="22"/>
          <w:szCs w:val="22"/>
        </w:rPr>
        <w:t xml:space="preserve">[9] He, K. et al. (2016). Deep Residual Learning for Image Recognition. CVPR 2016.</w:t>
      </w:r>
    </w:p>
    <w:p>
      <w:pPr>
        <w:spacing w:after="120" w:line="360"/>
      </w:pPr>
      <w:r>
        <w:rPr>
          <w:rFonts w:ascii="Times New Roman" w:cs="Times New Roman" w:eastAsia="Times New Roman" w:hAnsi="Times New Roman"/>
          <w:color w:val="24292F"/>
          <w:sz w:val="22"/>
          <w:szCs w:val="22"/>
        </w:rPr>
        <w:t xml:space="preserve">[10] Deng, J. et al. (2009). ImageNet: A Large-Scale Hierarchical Image Database. CVPR 2009.</w:t>
      </w:r>
    </w:p>
    <w:p>
      <w:pPr>
        <w:spacing w:after="120"/>
      </w:pPr>
    </w:p>
    <w:p>
      <w:pPr>
        <w:pStyle w:val="Heading1"/>
        <w:spacing w:before="320" w:after="160"/>
      </w:pPr>
      <w:r>
        <w:rPr>
          <w:rFonts w:ascii="Arial" w:cs="Arial" w:eastAsia="Arial" w:hAnsi="Arial"/>
          <w:b/>
          <w:bCs/>
          <w:color w:val="1F6FEB"/>
          <w:sz w:val="28"/>
          <w:szCs w:val="28"/>
        </w:rPr>
        <w:t xml:space="preserve">Supplementary Material</w:t>
      </w:r>
    </w:p>
    <w:p>
      <w:pPr>
        <w:pBdr>
          <w:bottom w:val="single" w:color="D0D7DE" w:sz="4" w:space="1"/>
        </w:pBdr>
        <w:spacing w:before="160" w:after="160"/>
      </w:pPr>
    </w:p>
    <w:p>
      <w:pPr>
        <w:spacing w:after="160" w:line="360"/>
      </w:pPr>
      <w:r>
        <w:rPr>
          <w:rFonts w:ascii="Times New Roman" w:cs="Times New Roman" w:eastAsia="Times New Roman" w:hAnsi="Times New Roman"/>
          <w:b/>
          <w:bCs/>
          <w:color w:val="24292F"/>
          <w:sz w:val="22"/>
          <w:szCs w:val="22"/>
        </w:rPr>
        <w:t xml:space="preserve">Code Repository: </w:t>
      </w:r>
      <w:r>
        <w:rPr>
          <w:rFonts w:ascii="Times New Roman" w:cs="Times New Roman" w:eastAsia="Times New Roman" w:hAnsi="Times New Roman"/>
          <w:color w:val="24292F"/>
          <w:sz w:val="22"/>
          <w:szCs w:val="22"/>
        </w:rPr>
        <w:t xml:space="preserve">All source code, trained model weights, and documentation are available in the project repository. Run the Jupyter notebook driver_monitoring_yolov8.ipynb on Google Colab to reproduce training results.</w:t>
      </w:r>
    </w:p>
    <w:p>
      <w:pPr>
        <w:spacing w:after="120"/>
      </w:pPr>
    </w:p>
    <w:p>
      <w:pPr>
        <w:spacing w:after="160" w:line="360"/>
      </w:pPr>
      <w:r>
        <w:rPr>
          <w:rFonts w:ascii="Times New Roman" w:cs="Times New Roman" w:eastAsia="Times New Roman" w:hAnsi="Times New Roman"/>
          <w:b/>
          <w:bCs/>
          <w:color w:val="24292F"/>
          <w:sz w:val="22"/>
          <w:szCs w:val="22"/>
        </w:rPr>
        <w:t xml:space="preserve">Dataset Access: </w:t>
      </w:r>
      <w:r>
        <w:rPr>
          <w:rFonts w:ascii="Times New Roman" w:cs="Times New Roman" w:eastAsia="Times New Roman" w:hAnsi="Times New Roman"/>
          <w:color w:val="24292F"/>
          <w:sz w:val="22"/>
          <w:szCs w:val="22"/>
        </w:rPr>
        <w:t xml:space="preserve">The LISA Driver Gaze RGB Dataset is freely available on Kaggle at: https://www.kaggle.com/datasets/yousefradwanlmao/driver-gaze-rgb-dataset-lisa-v1-v2</w:t>
      </w:r>
    </w:p>
    <w:p>
      <w:pPr>
        <w:spacing w:after="120"/>
      </w:pPr>
    </w:p>
    <w:p>
      <w:pPr>
        <w:spacing w:after="160" w:line="360"/>
      </w:pPr>
      <w:r>
        <w:rPr>
          <w:rFonts w:ascii="Times New Roman" w:cs="Times New Roman" w:eastAsia="Times New Roman" w:hAnsi="Times New Roman"/>
          <w:b/>
          <w:bCs/>
          <w:color w:val="24292F"/>
          <w:sz w:val="22"/>
          <w:szCs w:val="22"/>
        </w:rPr>
        <w:t xml:space="preserve">Note: </w:t>
      </w:r>
      <w:r>
        <w:rPr>
          <w:rFonts w:ascii="Times New Roman" w:cs="Times New Roman" w:eastAsia="Times New Roman" w:hAnsi="Times New Roman"/>
          <w:i/>
          <w:iCs/>
          <w:color w:val="24292F"/>
          <w:sz w:val="22"/>
          <w:szCs w:val="22"/>
        </w:rPr>
        <w:t xml:space="preserve">This is an academic college project. The system is not validated for real vehicle deployment.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20" w:after="160"/>
      <w:outlineLvl w:val="0"/>
    </w:pPr>
    <w:rPr>
      <w:rFonts w:ascii="Arial" w:cs="Arial" w:eastAsia="Arial" w:hAnsi="Arial"/>
      <w:b/>
      <w:bCs/>
      <w:color w:val="1F6FEB"/>
      <w:sz w:val="28"/>
      <w:szCs w:val="28"/>
    </w:rPr>
  </w:style>
  <w:style w:type="paragraph" w:styleId="Heading2">
    <w:name w:val="Heading 2"/>
    <w:basedOn w:val="Normal"/>
    <w:next w:val="Normal"/>
    <w:pPr>
      <w:spacing w:before="240" w:after="120"/>
      <w:outlineLvl w:val="1"/>
    </w:pPr>
    <w:rPr>
      <w:rFonts w:ascii="Arial" w:cs="Arial" w:eastAsia="Arial" w:hAnsi="Arial"/>
      <w:b/>
      <w:bCs/>
      <w:color w:val="2429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2026-02-25T05:17:00.397Z</dcterms:created>
  <dcterms:modified xsi:type="dcterms:W3CDTF">2026-02-25T05:17:00.398Z</dcterms:modified>
</cp:coreProperties>
</file>

<file path=docProps/custom.xml><?xml version="1.0" encoding="utf-8"?>
<Properties xmlns="http://schemas.openxmlformats.org/officeDocument/2006/custom-properties" xmlns:vt="http://schemas.openxmlformats.org/officeDocument/2006/docPropsVTypes"/>
</file>