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Nirmala UI" w:cs="Nirmala UI" w:eastAsia="Nirmala UI" w:hAnsi="Nirmala UI"/>
          <w:i/>
          <w:iCs/>
          <w:color w:val="A8402F"/>
          <w:sz w:val="22"/>
          <w:szCs w:val="22"/>
        </w:rPr>
        <w:t xml:space="preserve">Ganita</w:t>
      </w:r>
    </w:p>
    <w:p>
      <w:pPr>
        <w:spacing w:after="60"/>
      </w:pPr>
      <w:r>
        <w:rPr>
          <w:rFonts w:ascii="Georgia" w:cs="Georgia" w:eastAsia="Georgia" w:hAnsi="Georgia"/>
          <w:b/>
          <w:bCs/>
          <w:color w:val="211F2E"/>
          <w:sz w:val="44"/>
          <w:szCs w:val="44"/>
        </w:rPr>
        <w:t xml:space="preserve">Product Requirements Document</w:t>
      </w:r>
    </w:p>
    <w:p>
      <w:pPr>
        <w:spacing w:after="260"/>
      </w:pPr>
      <w:r>
        <w:rPr>
          <w:rFonts w:ascii="Georgia" w:cs="Georgia" w:eastAsia="Georgia" w:hAnsi="Georgia"/>
          <w:i/>
          <w:iCs/>
          <w:color w:val="55503F"/>
          <w:sz w:val="24"/>
          <w:szCs w:val="24"/>
        </w:rPr>
        <w:t xml:space="preserve">SwiftSum — a Vedic Ganita calculator based on Indian Knowledge Systems (IKS)</w:t>
      </w:r>
    </w:p>
    <w:p>
      <w:pPr>
        <w:spacing w:after="60"/>
      </w:pPr>
      <w:r>
        <w:rPr>
          <w:b/>
          <w:bCs/>
          <w:color w:val="211F2E"/>
          <w:sz w:val="21"/>
          <w:szCs w:val="21"/>
        </w:rPr>
        <w:t xml:space="preserve">Document owner:  </w:t>
      </w:r>
      <w:r>
        <w:rPr>
          <w:color w:val="2C2A22"/>
          <w:sz w:val="21"/>
          <w:szCs w:val="21"/>
        </w:rPr>
        <w:t xml:space="preserve">[Your name]</w:t>
      </w:r>
    </w:p>
    <w:p>
      <w:pPr>
        <w:spacing w:after="60"/>
      </w:pPr>
      <w:r>
        <w:rPr>
          <w:b/>
          <w:bCs/>
          <w:color w:val="211F2E"/>
          <w:sz w:val="21"/>
          <w:szCs w:val="21"/>
        </w:rPr>
        <w:t xml:space="preserve">Course / Assignment:  </w:t>
      </w:r>
      <w:r>
        <w:rPr>
          <w:color w:val="2C2A22"/>
          <w:sz w:val="21"/>
          <w:szCs w:val="21"/>
        </w:rPr>
        <w:t xml:space="preserve">[Course name / assignment title]</w:t>
      </w:r>
    </w:p>
    <w:p>
      <w:pPr>
        <w:spacing w:after="60"/>
      </w:pPr>
      <w:r>
        <w:rPr>
          <w:b/>
          <w:bCs/>
          <w:color w:val="211F2E"/>
          <w:sz w:val="21"/>
          <w:szCs w:val="21"/>
        </w:rPr>
        <w:t xml:space="preserve">Date:  </w:t>
      </w:r>
      <w:r>
        <w:rPr>
          <w:color w:val="2C2A22"/>
          <w:sz w:val="21"/>
          <w:szCs w:val="21"/>
        </w:rPr>
        <w:t xml:space="preserve">16 September 2026</w:t>
      </w:r>
    </w:p>
    <w:p>
      <w:pPr>
        <w:spacing w:after="60"/>
      </w:pPr>
      <w:r>
        <w:rPr>
          <w:b/>
          <w:bCs/>
          <w:color w:val="211F2E"/>
          <w:sz w:val="21"/>
          <w:szCs w:val="21"/>
        </w:rPr>
        <w:t xml:space="preserve">Status:  </w:t>
      </w:r>
      <w:r>
        <w:rPr>
          <w:color w:val="2C2A22"/>
          <w:sz w:val="21"/>
          <w:szCs w:val="21"/>
        </w:rPr>
        <w:t xml:space="preserve">Draft</w:t>
      </w:r>
    </w:p>
    <w:p>
      <w:pPr>
        <w:pStyle w:val="Heading1"/>
        <w:pBdr>
          <w:bottom w:val="single" w:color="DDCCA0" w:sz="6" w:space="4"/>
        </w:pBdr>
        <w:spacing w:after="140" w:before="320"/>
      </w:pPr>
      <w:r>
        <w:rPr>
          <w:rFonts w:ascii="Georgia" w:cs="Georgia" w:eastAsia="Georgia" w:hAnsi="Georgia"/>
          <w:b/>
          <w:bCs/>
          <w:color w:val="211F2E"/>
          <w:sz w:val="30"/>
          <w:szCs w:val="30"/>
        </w:rPr>
        <w:t xml:space="preserve">1. Overview</w:t>
      </w:r>
    </w:p>
    <w:p>
      <w:pPr>
        <w:spacing w:after="140" w:line="300"/>
      </w:pPr>
      <w:r>
        <w:rPr>
          <w:color w:val="2C2A22"/>
          <w:sz w:val="21"/>
          <w:szCs w:val="21"/>
        </w:rPr>
        <w:t xml:space="preserve">SwiftSum is a web application that teaches and demonstrates arithmetic using techniques from ancient Indian mathematics, commonly grouped under Vedic Mathematics and taught today as part of Indian Knowledge Systems (IKS). Instead of only returning an answer, the tool breaks a calculation into the same steps a person would follow using the underlying sutra (technique), and animates each step so the method itself is visible and understandable.</w:t>
      </w:r>
    </w:p>
    <w:p>
      <w:pPr>
        <w:pStyle w:val="Heading1"/>
        <w:pBdr>
          <w:bottom w:val="single" w:color="DDCCA0" w:sz="6" w:space="4"/>
        </w:pBdr>
        <w:spacing w:after="140" w:before="320"/>
      </w:pPr>
      <w:r>
        <w:rPr>
          <w:rFonts w:ascii="Georgia" w:cs="Georgia" w:eastAsia="Georgia" w:hAnsi="Georgia"/>
          <w:b/>
          <w:bCs/>
          <w:color w:val="211F2E"/>
          <w:sz w:val="30"/>
          <w:szCs w:val="30"/>
        </w:rPr>
        <w:t xml:space="preserve">2. Background &amp; Motivation</w:t>
      </w:r>
    </w:p>
    <w:p>
      <w:pPr>
        <w:spacing w:after="140" w:line="300"/>
      </w:pPr>
      <w:r>
        <w:rPr>
          <w:color w:val="2C2A22"/>
          <w:sz w:val="21"/>
          <w:szCs w:val="21"/>
        </w:rPr>
        <w:t xml:space="preserve">India's National Education Policy (NEP 2020) encourages integrating Indian Knowledge Systems into mainstream curricula, and Vedic Mathematics is one of the most widely taught IKS topics because it is concrete, verifiable, and directly useful for arithmetic. This project turns that syllabus content into an interactive tool: a student enters numbers, picks an operation, and watches the calculation unfold sutra by sutra rather than reading about it in a textbook.</w:t>
      </w:r>
    </w:p>
    <w:p>
      <w:pPr>
        <w:pStyle w:val="Heading1"/>
        <w:pBdr>
          <w:bottom w:val="single" w:color="DDCCA0" w:sz="6" w:space="4"/>
        </w:pBdr>
        <w:spacing w:after="140" w:before="320"/>
      </w:pPr>
      <w:r>
        <w:rPr>
          <w:rFonts w:ascii="Georgia" w:cs="Georgia" w:eastAsia="Georgia" w:hAnsi="Georgia"/>
          <w:b/>
          <w:bCs/>
          <w:color w:val="211F2E"/>
          <w:sz w:val="30"/>
          <w:szCs w:val="30"/>
        </w:rPr>
        <w:t xml:space="preserve">3. Goals</w:t>
      </w:r>
    </w:p>
    <w:p>
      <w:pPr>
        <w:pStyle w:val="ListParagraph"/>
        <w:numPr>
          <w:ilvl w:val="0"/>
          <w:numId w:val="2"/>
        </w:numPr>
        <w:spacing w:after="70" w:line="280"/>
      </w:pPr>
      <w:r>
        <w:rPr>
          <w:color w:val="2C2A22"/>
          <w:sz w:val="21"/>
          <w:szCs w:val="21"/>
        </w:rPr>
        <w:t xml:space="preserve">Make five core Vedic arithmetic techniques explorable through a single, simple interface.</w:t>
      </w:r>
    </w:p>
    <w:p>
      <w:pPr>
        <w:pStyle w:val="ListParagraph"/>
        <w:numPr>
          <w:ilvl w:val="0"/>
          <w:numId w:val="2"/>
        </w:numPr>
        <w:spacing w:after="70" w:line="280"/>
      </w:pPr>
      <w:r>
        <w:rPr>
          <w:color w:val="2C2A22"/>
          <w:sz w:val="21"/>
          <w:szCs w:val="21"/>
        </w:rPr>
        <w:t xml:space="preserve">Show the working, not just the result — every step has a plain-language explanation.</w:t>
      </w:r>
    </w:p>
    <w:p>
      <w:pPr>
        <w:pStyle w:val="ListParagraph"/>
        <w:numPr>
          <w:ilvl w:val="0"/>
          <w:numId w:val="2"/>
        </w:numPr>
        <w:spacing w:after="70" w:line="280"/>
      </w:pPr>
      <w:r>
        <w:rPr>
          <w:color w:val="2C2A22"/>
          <w:sz w:val="21"/>
          <w:szCs w:val="21"/>
        </w:rPr>
        <w:t xml:space="preserve">Guarantee correctness: the displayed answer must always match standard arithmetic, even when a classical shortcut is used only for the narration.</w:t>
      </w:r>
    </w:p>
    <w:p>
      <w:pPr>
        <w:pStyle w:val="ListParagraph"/>
        <w:numPr>
          <w:ilvl w:val="0"/>
          <w:numId w:val="2"/>
        </w:numPr>
        <w:spacing w:after="70" w:line="280"/>
      </w:pPr>
      <w:r>
        <w:rPr>
          <w:color w:val="2C2A22"/>
          <w:sz w:val="21"/>
          <w:szCs w:val="21"/>
        </w:rPr>
        <w:t xml:space="preserve">Keep the experience approachable for someone with no prior exposure to Vedic Mathematics.</w:t>
      </w:r>
    </w:p>
    <w:p>
      <w:pPr>
        <w:pStyle w:val="Heading1"/>
        <w:pBdr>
          <w:bottom w:val="single" w:color="DDCCA0" w:sz="6" w:space="4"/>
        </w:pBdr>
        <w:spacing w:after="140" w:before="320"/>
      </w:pPr>
      <w:r>
        <w:rPr>
          <w:rFonts w:ascii="Georgia" w:cs="Georgia" w:eastAsia="Georgia" w:hAnsi="Georgia"/>
          <w:b/>
          <w:bCs/>
          <w:color w:val="211F2E"/>
          <w:sz w:val="30"/>
          <w:szCs w:val="30"/>
        </w:rPr>
        <w:t xml:space="preserve">4. Target Users</w:t>
      </w:r>
    </w:p>
    <w:p>
      <w:pPr>
        <w:pStyle w:val="ListParagraph"/>
        <w:numPr>
          <w:ilvl w:val="0"/>
          <w:numId w:val="2"/>
        </w:numPr>
        <w:spacing w:after="70" w:line="280"/>
      </w:pPr>
      <w:r>
        <w:rPr>
          <w:color w:val="2C2A22"/>
          <w:sz w:val="21"/>
          <w:szCs w:val="21"/>
        </w:rPr>
        <w:t xml:space="preserve">School and college students studying IKS / Vedic Mathematics as part of coursework.</w:t>
      </w:r>
    </w:p>
    <w:p>
      <w:pPr>
        <w:pStyle w:val="ListParagraph"/>
        <w:numPr>
          <w:ilvl w:val="0"/>
          <w:numId w:val="2"/>
        </w:numPr>
        <w:spacing w:after="70" w:line="280"/>
      </w:pPr>
      <w:r>
        <w:rPr>
          <w:color w:val="2C2A22"/>
          <w:sz w:val="21"/>
          <w:szCs w:val="21"/>
        </w:rPr>
        <w:t xml:space="preserve">Teachers who want a demonstration aid for the classroom.</w:t>
      </w:r>
    </w:p>
    <w:p>
      <w:pPr>
        <w:pStyle w:val="ListParagraph"/>
        <w:numPr>
          <w:ilvl w:val="0"/>
          <w:numId w:val="2"/>
        </w:numPr>
        <w:spacing w:after="70" w:line="280"/>
      </w:pPr>
      <w:r>
        <w:rPr>
          <w:color w:val="2C2A22"/>
          <w:sz w:val="21"/>
          <w:szCs w:val="21"/>
        </w:rPr>
        <w:t xml:space="preserve">The assignment evaluator / grader reviewing the submitted tool.</w:t>
      </w:r>
    </w:p>
    <w:p>
      <w:pPr>
        <w:pStyle w:val="Heading1"/>
        <w:pBdr>
          <w:bottom w:val="single" w:color="DDCCA0" w:sz="6" w:space="4"/>
        </w:pBdr>
        <w:spacing w:after="140" w:before="320"/>
      </w:pPr>
      <w:r>
        <w:rPr>
          <w:rFonts w:ascii="Georgia" w:cs="Georgia" w:eastAsia="Georgia" w:hAnsi="Georgia"/>
          <w:b/>
          <w:bCs/>
          <w:color w:val="211F2E"/>
          <w:sz w:val="30"/>
          <w:szCs w:val="30"/>
        </w:rPr>
        <w:t xml:space="preserve">5. Scope</w:t>
      </w:r>
    </w:p>
    <w:p>
      <w:pPr>
        <w:pStyle w:val="Heading2"/>
        <w:spacing w:after="100" w:before="260"/>
      </w:pPr>
      <w:r>
        <w:rPr>
          <w:rFonts w:ascii="Georgia" w:cs="Georgia" w:eastAsia="Georgia" w:hAnsi="Georgia"/>
          <w:b/>
          <w:bCs/>
          <w:color w:val="A8402F"/>
          <w:sz w:val="24"/>
          <w:szCs w:val="24"/>
        </w:rPr>
        <w:t xml:space="preserve">5.1 In scope</w:t>
      </w:r>
    </w:p>
    <w:p>
      <w:pPr>
        <w:pStyle w:val="ListParagraph"/>
        <w:numPr>
          <w:ilvl w:val="0"/>
          <w:numId w:val="2"/>
        </w:numPr>
        <w:spacing w:after="70" w:line="280"/>
      </w:pPr>
      <w:r>
        <w:rPr>
          <w:color w:val="2C2A22"/>
          <w:sz w:val="21"/>
          <w:szCs w:val="21"/>
        </w:rPr>
        <w:t xml:space="preserve">A home / landing page introducing the site, explaining what IKS means, giving a short timeline of real milestones in Indian mathematical history, and surfacing a rotating “did you know” fact about ancient Indian mathematics.</w:t>
      </w:r>
    </w:p>
    <w:p>
      <w:pPr>
        <w:pStyle w:val="ListParagraph"/>
        <w:numPr>
          <w:ilvl w:val="0"/>
          <w:numId w:val="2"/>
        </w:numPr>
        <w:spacing w:after="70" w:line="280"/>
      </w:pPr>
      <w:r>
        <w:rPr>
          <w:color w:val="2C2A22"/>
          <w:sz w:val="21"/>
          <w:szCs w:val="21"/>
        </w:rPr>
        <w:t xml:space="preserve">Multiplication of whole numbers of any length, using Urdhva-Tiryagbhyam, with Nikhilam shown for numbers close to a shared base (e.g. 98 × 97).</w:t>
      </w:r>
    </w:p>
    <w:p>
      <w:pPr>
        <w:pStyle w:val="ListParagraph"/>
        <w:numPr>
          <w:ilvl w:val="0"/>
          <w:numId w:val="2"/>
        </w:numPr>
        <w:spacing w:after="70" w:line="280"/>
      </w:pPr>
      <w:r>
        <w:rPr>
          <w:color w:val="2C2A22"/>
          <w:sz w:val="21"/>
          <w:szCs w:val="21"/>
        </w:rPr>
        <w:t xml:space="preserve">Squaring, with the ending-in-5 shortcut, the near-base shortcut, and general crosswise squaring.</w:t>
      </w:r>
    </w:p>
    <w:p>
      <w:pPr>
        <w:pStyle w:val="ListParagraph"/>
        <w:numPr>
          <w:ilvl w:val="0"/>
          <w:numId w:val="2"/>
        </w:numPr>
        <w:spacing w:after="70" w:line="280"/>
      </w:pPr>
      <w:r>
        <w:rPr>
          <w:color w:val="2C2A22"/>
          <w:sz w:val="21"/>
          <w:szCs w:val="21"/>
        </w:rPr>
        <w:t xml:space="preserve">Subtraction of whole numbers using the Nikhilam complement method.</w:t>
      </w:r>
    </w:p>
    <w:p>
      <w:pPr>
        <w:pStyle w:val="ListParagraph"/>
        <w:numPr>
          <w:ilvl w:val="0"/>
          <w:numId w:val="2"/>
        </w:numPr>
        <w:spacing w:after="70" w:line="280"/>
      </w:pPr>
      <w:r>
        <w:rPr>
          <w:color w:val="2C2A22"/>
          <w:sz w:val="21"/>
          <w:szCs w:val="21"/>
        </w:rPr>
        <w:t xml:space="preserve">Division of whole numbers, using self-correcting Nikhilam division near a base, with an always-correct standard division fallback.</w:t>
      </w:r>
    </w:p>
    <w:p>
      <w:pPr>
        <w:pStyle w:val="ListParagraph"/>
        <w:numPr>
          <w:ilvl w:val="0"/>
          <w:numId w:val="2"/>
        </w:numPr>
        <w:spacing w:after="70" w:line="280"/>
      </w:pPr>
      <w:r>
        <w:rPr>
          <w:color w:val="2C2A22"/>
          <w:sz w:val="21"/>
          <w:szCs w:val="21"/>
        </w:rPr>
        <w:t xml:space="preserve">Divisibility checking against a chosen divisor using digit-sum, alternating-sum, and osculation techniques, including composite divisors.</w:t>
      </w:r>
    </w:p>
    <w:p>
      <w:pPr>
        <w:pStyle w:val="ListParagraph"/>
        <w:numPr>
          <w:ilvl w:val="0"/>
          <w:numId w:val="2"/>
        </w:numPr>
        <w:spacing w:after="70" w:line="280"/>
      </w:pPr>
      <w:r>
        <w:rPr>
          <w:color w:val="2C2A22"/>
          <w:sz w:val="21"/>
          <w:szCs w:val="21"/>
        </w:rPr>
        <w:t xml:space="preserve">A step player: previous/next, auto-play, reset, and a running step counter.</w:t>
      </w:r>
    </w:p>
    <w:p>
      <w:pPr>
        <w:pStyle w:val="Heading2"/>
        <w:spacing w:after="100" w:before="260"/>
      </w:pPr>
      <w:r>
        <w:rPr>
          <w:rFonts w:ascii="Georgia" w:cs="Georgia" w:eastAsia="Georgia" w:hAnsi="Georgia"/>
          <w:b/>
          <w:bCs/>
          <w:color w:val="A8402F"/>
          <w:sz w:val="24"/>
          <w:szCs w:val="24"/>
        </w:rPr>
        <w:t xml:space="preserve">5.2 Out of scope (this version)</w:t>
      </w:r>
    </w:p>
    <w:p>
      <w:pPr>
        <w:pStyle w:val="ListParagraph"/>
        <w:numPr>
          <w:ilvl w:val="0"/>
          <w:numId w:val="2"/>
        </w:numPr>
        <w:spacing w:after="70" w:line="280"/>
      </w:pPr>
      <w:r>
        <w:rPr>
          <w:color w:val="2C2A22"/>
          <w:sz w:val="21"/>
          <w:szCs w:val="21"/>
        </w:rPr>
        <w:t xml:space="preserve">Negative numbers, decimals, and fractions.</w:t>
      </w:r>
    </w:p>
    <w:p>
      <w:pPr>
        <w:pStyle w:val="ListParagraph"/>
        <w:numPr>
          <w:ilvl w:val="0"/>
          <w:numId w:val="2"/>
        </w:numPr>
        <w:spacing w:after="70" w:line="280"/>
      </w:pPr>
      <w:r>
        <w:rPr>
          <w:color w:val="2C2A22"/>
          <w:sz w:val="21"/>
          <w:szCs w:val="21"/>
        </w:rPr>
        <w:t xml:space="preserve">Numbers large enough to lose precision in standard JavaScript numeric types.</w:t>
      </w:r>
    </w:p>
    <w:p>
      <w:pPr>
        <w:pStyle w:val="ListParagraph"/>
        <w:numPr>
          <w:ilvl w:val="0"/>
          <w:numId w:val="2"/>
        </w:numPr>
        <w:spacing w:after="70" w:line="280"/>
      </w:pPr>
      <w:r>
        <w:rPr>
          <w:color w:val="2C2A22"/>
          <w:sz w:val="21"/>
          <w:szCs w:val="21"/>
        </w:rPr>
        <w:t xml:space="preserve">User accounts, saved history, or multi-user features.</w:t>
      </w:r>
    </w:p>
    <w:p>
      <w:pPr>
        <w:pStyle w:val="ListParagraph"/>
        <w:numPr>
          <w:ilvl w:val="0"/>
          <w:numId w:val="2"/>
        </w:numPr>
        <w:spacing w:after="70" w:line="280"/>
      </w:pPr>
      <w:r>
        <w:rPr>
          <w:color w:val="2C2A22"/>
          <w:sz w:val="21"/>
          <w:szCs w:val="21"/>
        </w:rPr>
        <w:t xml:space="preserve">Languages other than English for step narration or facts.</w:t>
      </w:r>
    </w:p>
    <w:p>
      <w:pPr>
        <w:pStyle w:val="Heading1"/>
        <w:pBdr>
          <w:bottom w:val="single" w:color="DDCCA0" w:sz="6" w:space="4"/>
        </w:pBdr>
        <w:spacing w:after="140" w:before="320"/>
      </w:pPr>
      <w:r>
        <w:rPr>
          <w:rFonts w:ascii="Georgia" w:cs="Georgia" w:eastAsia="Georgia" w:hAnsi="Georgia"/>
          <w:b/>
          <w:bCs/>
          <w:color w:val="211F2E"/>
          <w:sz w:val="30"/>
          <w:szCs w:val="30"/>
        </w:rPr>
        <w:t xml:space="preserve">6. Features &amp; Functional Requirements</w:t>
      </w:r>
    </w:p>
    <w:p>
      <w:pPr>
        <w:pStyle w:val="Heading2"/>
        <w:spacing w:after="100" w:before="260"/>
      </w:pPr>
      <w:r>
        <w:rPr>
          <w:rFonts w:ascii="Georgia" w:cs="Georgia" w:eastAsia="Georgia" w:hAnsi="Georgia"/>
          <w:b/>
          <w:bCs/>
          <w:color w:val="A8402F"/>
          <w:sz w:val="24"/>
          <w:szCs w:val="24"/>
        </w:rPr>
        <w:t xml:space="preserve">6.1 Home / landing page</w:t>
      </w:r>
    </w:p>
    <w:p>
      <w:pPr>
        <w:pStyle w:val="ListParagraph"/>
        <w:numPr>
          <w:ilvl w:val="0"/>
          <w:numId w:val="2"/>
        </w:numPr>
        <w:spacing w:after="70" w:line="280"/>
      </w:pPr>
      <w:r>
        <w:rPr>
          <w:color w:val="2C2A22"/>
          <w:sz w:val="21"/>
          <w:szCs w:val="21"/>
        </w:rPr>
        <w:t xml:space="preserve">A short headline and one-paragraph explanation of what the site does.</w:t>
      </w:r>
    </w:p>
    <w:p>
      <w:pPr>
        <w:pStyle w:val="ListParagraph"/>
        <w:numPr>
          <w:ilvl w:val="0"/>
          <w:numId w:val="2"/>
        </w:numPr>
        <w:spacing w:after="70" w:line="280"/>
      </w:pPr>
      <w:r>
        <w:rPr>
          <w:color w:val="2C2A22"/>
          <w:sz w:val="21"/>
          <w:szCs w:val="21"/>
        </w:rPr>
        <w:t xml:space="preserve">A “did you know” fact card showing one historically-checked fact about ancient or medieval Indian mathematics, with a control to show another fact at random (never repeating the fact currently shown).</w:t>
      </w:r>
    </w:p>
    <w:p>
      <w:pPr>
        <w:pStyle w:val="ListParagraph"/>
        <w:numPr>
          <w:ilvl w:val="0"/>
          <w:numId w:val="2"/>
        </w:numPr>
        <w:spacing w:after="70" w:line="280"/>
      </w:pPr>
      <w:r>
        <w:rPr>
          <w:color w:val="2C2A22"/>
          <w:sz w:val="21"/>
          <w:szCs w:val="21"/>
        </w:rPr>
        <w:t xml:space="preserve">An explainer section describing Indian Knowledge Systems (IKS) in plain language, and how Vedic Mathematics relates to the wider IKS tradition.</w:t>
      </w:r>
    </w:p>
    <w:p>
      <w:pPr>
        <w:pStyle w:val="ListParagraph"/>
        <w:numPr>
          <w:ilvl w:val="0"/>
          <w:numId w:val="2"/>
        </w:numPr>
        <w:spacing w:after="70" w:line="280"/>
      </w:pPr>
      <w:r>
        <w:rPr>
          <w:color w:val="2C2A22"/>
          <w:sz w:val="21"/>
          <w:szCs w:val="21"/>
        </w:rPr>
        <w:t xml:space="preserve">A chronological timeline of real milestones (e.g. Baudhayana's Sulba Sutra, Aryabhata, Brahmagupta, the Kerala School, the 1965 publication of Vedic Mathematics).</w:t>
      </w:r>
    </w:p>
    <w:p>
      <w:pPr>
        <w:pStyle w:val="ListParagraph"/>
        <w:numPr>
          <w:ilvl w:val="0"/>
          <w:numId w:val="2"/>
        </w:numPr>
        <w:spacing w:after="70" w:line="280"/>
      </w:pPr>
      <w:r>
        <w:rPr>
          <w:color w:val="2C2A22"/>
          <w:sz w:val="21"/>
          <w:szCs w:val="21"/>
        </w:rPr>
        <w:t xml:space="preserve">A closing call-to-action leading to the calculator.</w:t>
      </w:r>
    </w:p>
    <w:p>
      <w:pPr>
        <w:pStyle w:val="Heading2"/>
        <w:spacing w:after="100" w:before="260"/>
      </w:pPr>
      <w:r>
        <w:rPr>
          <w:rFonts w:ascii="Georgia" w:cs="Georgia" w:eastAsia="Georgia" w:hAnsi="Georgia"/>
          <w:b/>
          <w:bCs/>
          <w:color w:val="A8402F"/>
          <w:sz w:val="24"/>
          <w:szCs w:val="24"/>
        </w:rPr>
        <w:t xml:space="preserve">6.2 Calculator</w:t>
      </w:r>
    </w:p>
    <w:p>
      <w:pPr>
        <w:spacing w:after="140" w:line="300"/>
      </w:pPr>
      <w:r>
        <w:rPr>
          <w:color w:val="2C2A22"/>
          <w:sz w:val="21"/>
          <w:szCs w:val="21"/>
        </w:rPr>
        <w:t xml:space="preserve">The table below summarises each supported operation, the sutra behind it, and what the animation is meant to teach.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c>
          <w:tcPr>
            <w:tcW w:type="dxa" w:w="2200"/>
            <w:shd w:fill="294C48" w:val="clear"/>
            <w:tcMar>
              <w:top w:type="dxa" w:w="90"/>
              <w:left w:type="dxa" w:w="120"/>
              <w:bottom w:type="dxa" w:w="90"/>
              <w:right w:type="dxa" w:w="120"/>
            </w:tcMar>
          </w:tcPr>
          <w:p>
            <w:r>
              <w:rPr>
                <w:b/>
                <w:bCs/>
                <w:color w:val="FFFFFF"/>
                <w:sz w:val="19"/>
                <w:szCs w:val="19"/>
              </w:rPr>
              <w:t xml:space="preserve">Operation</w:t>
            </w:r>
          </w:p>
        </w:tc>
        <w:tc>
          <w:tcPr>
            <w:tcW w:type="dxa" w:w="3300"/>
            <w:shd w:fill="294C48" w:val="clear"/>
            <w:tcMar>
              <w:top w:type="dxa" w:w="90"/>
              <w:left w:type="dxa" w:w="120"/>
              <w:bottom w:type="dxa" w:w="90"/>
              <w:right w:type="dxa" w:w="120"/>
            </w:tcMar>
          </w:tcPr>
          <w:p>
            <w:r>
              <w:rPr>
                <w:b/>
                <w:bCs/>
                <w:color w:val="FFFFFF"/>
                <w:sz w:val="19"/>
                <w:szCs w:val="19"/>
              </w:rPr>
              <w:t xml:space="preserve">Sutra / Technique</w:t>
            </w:r>
          </w:p>
        </w:tc>
        <w:tc>
          <w:tcPr>
            <w:tcW w:type="dxa" w:w="3850"/>
            <w:shd w:fill="294C48" w:val="clear"/>
            <w:tcMar>
              <w:top w:type="dxa" w:w="90"/>
              <w:left w:type="dxa" w:w="120"/>
              <w:bottom w:type="dxa" w:w="90"/>
              <w:right w:type="dxa" w:w="120"/>
            </w:tcMar>
          </w:tcPr>
          <w:p>
            <w:r>
              <w:rPr>
                <w:b/>
                <w:bCs/>
                <w:color w:val="FFFFFF"/>
                <w:sz w:val="19"/>
                <w:szCs w:val="19"/>
              </w:rPr>
              <w:t xml:space="preserve">What it demonstrates</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Multiplication</w:t>
            </w:r>
          </w:p>
        </w:tc>
        <w:tc>
          <w:tcPr>
            <w:tcW w:type="dxa" w:w="3300"/>
            <w:shd w:fill="FFFFFF" w:val="clear"/>
            <w:tcMar>
              <w:top w:type="dxa" w:w="90"/>
              <w:left w:type="dxa" w:w="120"/>
              <w:bottom w:type="dxa" w:w="90"/>
              <w:right w:type="dxa" w:w="120"/>
            </w:tcMar>
          </w:tcPr>
          <w:p>
            <w:r>
              <w:rPr>
                <w:b w:val="false"/>
                <w:bCs w:val="false"/>
                <w:color w:val="2C2A22"/>
                <w:sz w:val="19"/>
                <w:szCs w:val="19"/>
              </w:rPr>
              <w:t xml:space="preserve">Urdhva-Tiryagbhyam (vertically &amp; crosswise); Nikhilam when both numbers sit near the same power of 10</w:t>
            </w:r>
          </w:p>
        </w:tc>
        <w:tc>
          <w:tcPr>
            <w:tcW w:type="dxa" w:w="3850"/>
            <w:shd w:fill="FFFFFF" w:val="clear"/>
            <w:tcMar>
              <w:top w:type="dxa" w:w="90"/>
              <w:left w:type="dxa" w:w="120"/>
              <w:bottom w:type="dxa" w:w="90"/>
              <w:right w:type="dxa" w:w="120"/>
            </w:tcMar>
          </w:tcPr>
          <w:p>
            <w:r>
              <w:rPr>
                <w:b w:val="false"/>
                <w:bCs w:val="false"/>
                <w:color w:val="2C2A22"/>
                <w:sz w:val="19"/>
                <w:szCs w:val="19"/>
              </w:rPr>
              <w:t xml:space="preserve">Cross-multiplying digit pairs with animated connecting lines; base-deviation shortcut for near-round numbers</w:t>
            </w:r>
          </w:p>
        </w:tc>
      </w:tr>
      <w:tr>
        <w:tc>
          <w:tcPr>
            <w:tcW w:type="dxa" w:w="2200"/>
            <w:shd w:fill="F7F0DC" w:val="clear"/>
            <w:tcMar>
              <w:top w:type="dxa" w:w="90"/>
              <w:left w:type="dxa" w:w="120"/>
              <w:bottom w:type="dxa" w:w="90"/>
              <w:right w:type="dxa" w:w="120"/>
            </w:tcMar>
          </w:tcPr>
          <w:p>
            <w:r>
              <w:rPr>
                <w:b w:val="false"/>
                <w:bCs w:val="false"/>
                <w:color w:val="2C2A22"/>
                <w:sz w:val="19"/>
                <w:szCs w:val="19"/>
              </w:rPr>
              <w:t xml:space="preserve">Squaring</w:t>
            </w:r>
          </w:p>
        </w:tc>
        <w:tc>
          <w:tcPr>
            <w:tcW w:type="dxa" w:w="3300"/>
            <w:shd w:fill="F7F0DC" w:val="clear"/>
            <w:tcMar>
              <w:top w:type="dxa" w:w="90"/>
              <w:left w:type="dxa" w:w="120"/>
              <w:bottom w:type="dxa" w:w="90"/>
              <w:right w:type="dxa" w:w="120"/>
            </w:tcMar>
          </w:tcPr>
          <w:p>
            <w:r>
              <w:rPr>
                <w:b w:val="false"/>
                <w:bCs w:val="false"/>
                <w:color w:val="2C2A22"/>
                <w:sz w:val="19"/>
                <w:szCs w:val="19"/>
              </w:rPr>
              <w:t xml:space="preserve">Ekadhikena Purvena (numbers ending in 5); Yavadunam (near a base); Urdhva-Tiryagbhyam otherwise</w:t>
            </w:r>
          </w:p>
        </w:tc>
        <w:tc>
          <w:tcPr>
            <w:tcW w:type="dxa" w:w="3850"/>
            <w:shd w:fill="F7F0DC" w:val="clear"/>
            <w:tcMar>
              <w:top w:type="dxa" w:w="90"/>
              <w:left w:type="dxa" w:w="120"/>
              <w:bottom w:type="dxa" w:w="90"/>
              <w:right w:type="dxa" w:w="120"/>
            </w:tcMar>
          </w:tcPr>
          <w:p>
            <w:r>
              <w:rPr>
                <w:b w:val="false"/>
                <w:bCs w:val="false"/>
                <w:color w:val="2C2A22"/>
                <w:sz w:val="19"/>
                <w:szCs w:val="19"/>
              </w:rPr>
              <w:t xml:space="preserve">Specialised shortcuts before falling back to the general crosswise method</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Subtraction</w:t>
            </w:r>
          </w:p>
        </w:tc>
        <w:tc>
          <w:tcPr>
            <w:tcW w:type="dxa" w:w="3300"/>
            <w:shd w:fill="FFFFFF" w:val="clear"/>
            <w:tcMar>
              <w:top w:type="dxa" w:w="90"/>
              <w:left w:type="dxa" w:w="120"/>
              <w:bottom w:type="dxa" w:w="90"/>
              <w:right w:type="dxa" w:w="120"/>
            </w:tcMar>
          </w:tcPr>
          <w:p>
            <w:r>
              <w:rPr>
                <w:b w:val="false"/>
                <w:bCs w:val="false"/>
                <w:color w:val="2C2A22"/>
                <w:sz w:val="19"/>
                <w:szCs w:val="19"/>
              </w:rPr>
              <w:t xml:space="preserve">Nikhilam complements (“all from 9 and the last from 10”)</w:t>
            </w:r>
          </w:p>
        </w:tc>
        <w:tc>
          <w:tcPr>
            <w:tcW w:type="dxa" w:w="3850"/>
            <w:shd w:fill="FFFFFF" w:val="clear"/>
            <w:tcMar>
              <w:top w:type="dxa" w:w="90"/>
              <w:left w:type="dxa" w:w="120"/>
              <w:bottom w:type="dxa" w:w="90"/>
              <w:right w:type="dxa" w:w="120"/>
            </w:tcMar>
          </w:tcPr>
          <w:p>
            <w:r>
              <w:rPr>
                <w:b w:val="false"/>
                <w:bCs w:val="false"/>
                <w:color w:val="2C2A22"/>
                <w:sz w:val="19"/>
                <w:szCs w:val="19"/>
              </w:rPr>
              <w:t xml:space="preserve">Turning subtraction into addition of a complement</w:t>
            </w:r>
          </w:p>
        </w:tc>
      </w:tr>
      <w:tr>
        <w:tc>
          <w:tcPr>
            <w:tcW w:type="dxa" w:w="2200"/>
            <w:shd w:fill="F7F0DC" w:val="clear"/>
            <w:tcMar>
              <w:top w:type="dxa" w:w="90"/>
              <w:left w:type="dxa" w:w="120"/>
              <w:bottom w:type="dxa" w:w="90"/>
              <w:right w:type="dxa" w:w="120"/>
            </w:tcMar>
          </w:tcPr>
          <w:p>
            <w:r>
              <w:rPr>
                <w:b w:val="false"/>
                <w:bCs w:val="false"/>
                <w:color w:val="2C2A22"/>
                <w:sz w:val="19"/>
                <w:szCs w:val="19"/>
              </w:rPr>
              <w:t xml:space="preserve">Division</w:t>
            </w:r>
          </w:p>
        </w:tc>
        <w:tc>
          <w:tcPr>
            <w:tcW w:type="dxa" w:w="3300"/>
            <w:shd w:fill="F7F0DC" w:val="clear"/>
            <w:tcMar>
              <w:top w:type="dxa" w:w="90"/>
              <w:left w:type="dxa" w:w="120"/>
              <w:bottom w:type="dxa" w:w="90"/>
              <w:right w:type="dxa" w:w="120"/>
            </w:tcMar>
          </w:tcPr>
          <w:p>
            <w:r>
              <w:rPr>
                <w:b w:val="false"/>
                <w:bCs w:val="false"/>
                <w:color w:val="2C2A22"/>
                <w:sz w:val="19"/>
                <w:szCs w:val="19"/>
              </w:rPr>
              <w:t xml:space="preserve">Nikhilam division (base-deviation, self-correcting guess) with standard column division as a verified fallback</w:t>
            </w:r>
          </w:p>
        </w:tc>
        <w:tc>
          <w:tcPr>
            <w:tcW w:type="dxa" w:w="3850"/>
            <w:shd w:fill="F7F0DC" w:val="clear"/>
            <w:tcMar>
              <w:top w:type="dxa" w:w="90"/>
              <w:left w:type="dxa" w:w="120"/>
              <w:bottom w:type="dxa" w:w="90"/>
              <w:right w:type="dxa" w:w="120"/>
            </w:tcMar>
          </w:tcPr>
          <w:p>
            <w:r>
              <w:rPr>
                <w:b w:val="false"/>
                <w:bCs w:val="false"/>
                <w:color w:val="2C2A22"/>
                <w:sz w:val="19"/>
                <w:szCs w:val="19"/>
              </w:rPr>
              <w:t xml:space="preserve">Iterative correction of the quotient guess using the divisor's deviation from a base</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Divisibility check</w:t>
            </w:r>
          </w:p>
        </w:tc>
        <w:tc>
          <w:tcPr>
            <w:tcW w:type="dxa" w:w="3300"/>
            <w:shd w:fill="FFFFFF" w:val="clear"/>
            <w:tcMar>
              <w:top w:type="dxa" w:w="90"/>
              <w:left w:type="dxa" w:w="120"/>
              <w:bottom w:type="dxa" w:w="90"/>
              <w:right w:type="dxa" w:w="120"/>
            </w:tcMar>
          </w:tcPr>
          <w:p>
            <w:r>
              <w:rPr>
                <w:b w:val="false"/>
                <w:bCs w:val="false"/>
                <w:color w:val="2C2A22"/>
                <w:sz w:val="19"/>
                <w:szCs w:val="19"/>
              </w:rPr>
              <w:t xml:space="preserve">Digit-sum, alternating-sum, and osculation rules (for 7, 11, 13, 17, 19, and composites)</w:t>
            </w:r>
          </w:p>
        </w:tc>
        <w:tc>
          <w:tcPr>
            <w:tcW w:type="dxa" w:w="3850"/>
            <w:shd w:fill="FFFFFF" w:val="clear"/>
            <w:tcMar>
              <w:top w:type="dxa" w:w="90"/>
              <w:left w:type="dxa" w:w="120"/>
              <w:bottom w:type="dxa" w:w="90"/>
              <w:right w:type="dxa" w:w="120"/>
            </w:tcMar>
          </w:tcPr>
          <w:p>
            <w:r>
              <w:rPr>
                <w:b w:val="false"/>
                <w:bCs w:val="false"/>
                <w:color w:val="2C2A22"/>
                <w:sz w:val="19"/>
                <w:szCs w:val="19"/>
              </w:rPr>
              <w:t xml:space="preserve">Reducing a large number to a small one through repeated digit operations</w:t>
            </w:r>
          </w:p>
        </w:tc>
      </w:tr>
    </w:tbl>
    <w:p>
      <w:pPr>
        <w:spacing w:before="200"/>
      </w:pPr>
    </w:p>
    <w:p>
      <w:pPr>
        <w:pStyle w:val="Heading2"/>
        <w:spacing w:after="100" w:before="260"/>
      </w:pPr>
      <w:r>
        <w:rPr>
          <w:rFonts w:ascii="Georgia" w:cs="Georgia" w:eastAsia="Georgia" w:hAnsi="Georgia"/>
          <w:b/>
          <w:bCs/>
          <w:color w:val="A8402F"/>
          <w:sz w:val="24"/>
          <w:szCs w:val="24"/>
        </w:rPr>
        <w:t xml:space="preserve">6.3 Step player behaviour</w:t>
      </w:r>
    </w:p>
    <w:p>
      <w:pPr>
        <w:pStyle w:val="ListParagraph"/>
        <w:numPr>
          <w:ilvl w:val="0"/>
          <w:numId w:val="2"/>
        </w:numPr>
        <w:spacing w:after="70" w:line="280"/>
      </w:pPr>
      <w:r>
        <w:rPr>
          <w:color w:val="2C2A22"/>
          <w:sz w:val="21"/>
          <w:szCs w:val="21"/>
        </w:rPr>
        <w:t xml:space="preserve">Each result produces an ordered list of steps; only one step's detail is shown at a time.</w:t>
      </w:r>
    </w:p>
    <w:p>
      <w:pPr>
        <w:pStyle w:val="ListParagraph"/>
        <w:numPr>
          <w:ilvl w:val="0"/>
          <w:numId w:val="2"/>
        </w:numPr>
        <w:spacing w:after="70" w:line="280"/>
      </w:pPr>
      <w:r>
        <w:rPr>
          <w:color w:val="2C2A22"/>
          <w:sz w:val="21"/>
          <w:szCs w:val="21"/>
        </w:rPr>
        <w:t xml:space="preserve">Controls: step back, play/pause (auto-advances every ~1.6 seconds), step forward, reset to the first step.</w:t>
      </w:r>
    </w:p>
    <w:p>
      <w:pPr>
        <w:pStyle w:val="ListParagraph"/>
        <w:numPr>
          <w:ilvl w:val="0"/>
          <w:numId w:val="2"/>
        </w:numPr>
        <w:spacing w:after="70" w:line="280"/>
      </w:pPr>
      <w:r>
        <w:rPr>
          <w:color w:val="2C2A22"/>
          <w:sz w:val="21"/>
          <w:szCs w:val="21"/>
        </w:rPr>
        <w:t xml:space="preserve">The final answer (and, for divisibility, a clear yes/no verdict) appears once the last step is reached.</w:t>
      </w:r>
    </w:p>
    <w:p>
      <w:pPr>
        <w:pStyle w:val="ListParagraph"/>
        <w:numPr>
          <w:ilvl w:val="0"/>
          <w:numId w:val="2"/>
        </w:numPr>
        <w:spacing w:after="70" w:line="280"/>
      </w:pPr>
      <w:r>
        <w:rPr>
          <w:color w:val="2C2A22"/>
          <w:sz w:val="21"/>
          <w:szCs w:val="21"/>
        </w:rPr>
        <w:t xml:space="preserve">Multiplication and squaring show an animated diagram connecting the digits involved in the current step; other operations show a running list of completed steps.</w:t>
      </w:r>
    </w:p>
    <w:p>
      <w:pPr>
        <w:pStyle w:val="Heading1"/>
        <w:pBdr>
          <w:bottom w:val="single" w:color="DDCCA0" w:sz="6" w:space="4"/>
        </w:pBdr>
        <w:spacing w:after="140" w:before="320"/>
      </w:pPr>
      <w:r>
        <w:rPr>
          <w:rFonts w:ascii="Georgia" w:cs="Georgia" w:eastAsia="Georgia" w:hAnsi="Georgia"/>
          <w:b/>
          <w:bCs/>
          <w:color w:val="211F2E"/>
          <w:sz w:val="30"/>
          <w:szCs w:val="30"/>
        </w:rPr>
        <w:t xml:space="preserve">7. Non-Functional Requirements</w:t>
      </w:r>
    </w:p>
    <w:p>
      <w:pPr>
        <w:pStyle w:val="ListParagraph"/>
        <w:numPr>
          <w:ilvl w:val="0"/>
          <w:numId w:val="2"/>
        </w:numPr>
        <w:spacing w:after="70" w:line="280"/>
      </w:pPr>
      <w:r>
        <w:rPr>
          <w:color w:val="2C2A22"/>
          <w:sz w:val="21"/>
          <w:szCs w:val="21"/>
        </w:rPr>
        <w:t xml:space="preserve">Correctness: every result matches direct computation; a classical shortcut is only shown when it's verified to give the right answer, otherwise a plain method is shown instead.</w:t>
      </w:r>
    </w:p>
    <w:p>
      <w:pPr>
        <w:pStyle w:val="ListParagraph"/>
        <w:numPr>
          <w:ilvl w:val="0"/>
          <w:numId w:val="2"/>
        </w:numPr>
        <w:spacing w:after="70" w:line="280"/>
      </w:pPr>
      <w:r>
        <w:rPr>
          <w:color w:val="2C2A22"/>
          <w:sz w:val="21"/>
          <w:szCs w:val="21"/>
        </w:rPr>
        <w:t xml:space="preserve">Responsiveness: usable on both desktop and mobile-width screens.</w:t>
      </w:r>
    </w:p>
    <w:p>
      <w:pPr>
        <w:pStyle w:val="ListParagraph"/>
        <w:numPr>
          <w:ilvl w:val="0"/>
          <w:numId w:val="2"/>
        </w:numPr>
        <w:spacing w:after="70" w:line="280"/>
      </w:pPr>
      <w:r>
        <w:rPr>
          <w:color w:val="2C2A22"/>
          <w:sz w:val="21"/>
          <w:szCs w:val="21"/>
        </w:rPr>
        <w:t xml:space="preserve">Performance: calculations and page interactions should feel instant.</w:t>
      </w:r>
    </w:p>
    <w:p>
      <w:pPr>
        <w:pStyle w:val="ListParagraph"/>
        <w:numPr>
          <w:ilvl w:val="0"/>
          <w:numId w:val="2"/>
        </w:numPr>
        <w:spacing w:after="70" w:line="280"/>
      </w:pPr>
      <w:r>
        <w:rPr>
          <w:color w:val="2C2A22"/>
          <w:sz w:val="21"/>
          <w:szCs w:val="21"/>
        </w:rPr>
        <w:t xml:space="preserve">Accessibility: visible focus states on inputs and controls, reduced-motion respected, and text contrast suitable for extended reading.</w:t>
      </w:r>
    </w:p>
    <w:p>
      <w:pPr>
        <w:pStyle w:val="ListParagraph"/>
        <w:numPr>
          <w:ilvl w:val="0"/>
          <w:numId w:val="2"/>
        </w:numPr>
        <w:spacing w:after="70" w:line="280"/>
      </w:pPr>
      <w:r>
        <w:rPr>
          <w:color w:val="2C2A22"/>
          <w:sz w:val="21"/>
          <w:szCs w:val="21"/>
        </w:rPr>
        <w:t xml:space="preserve">Historical accuracy: facts and dates presented on the home page are drawn from mainstream historical sources, with debated dates (e.g. the Bakhshali manuscript) flagged as such rather than stated as settled.</w:t>
      </w:r>
    </w:p>
    <w:p>
      <w:pPr>
        <w:pStyle w:val="Heading1"/>
        <w:pBdr>
          <w:bottom w:val="single" w:color="DDCCA0" w:sz="6" w:space="4"/>
        </w:pBdr>
        <w:spacing w:after="140" w:before="320"/>
      </w:pPr>
      <w:r>
        <w:rPr>
          <w:rFonts w:ascii="Georgia" w:cs="Georgia" w:eastAsia="Georgia" w:hAnsi="Georgia"/>
          <w:b/>
          <w:bCs/>
          <w:color w:val="211F2E"/>
          <w:sz w:val="30"/>
          <w:szCs w:val="30"/>
        </w:rPr>
        <w:t xml:space="preserve">8. Design Direction</w:t>
      </w:r>
    </w:p>
    <w:p>
      <w:pPr>
        <w:spacing w:after="140" w:line="300"/>
      </w:pPr>
      <w:r>
        <w:rPr>
          <w:color w:val="2C2A22"/>
          <w:sz w:val="21"/>
          <w:szCs w:val="21"/>
        </w:rPr>
        <w:t xml:space="preserve">The visual language draws from manuscript and palm-leaf material rather than a generic app look: a warm parchment background, an ink-dark headline color, and a single vermilion accent reserved for active states and interactive highlights. Numerals are set in a monospaced face so digits align cleanly in grids, and the same token set is shared by the landing page and the calculator so the two feel like one product.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211F2E" w:val="clear"/>
            <w:tcMar>
              <w:top w:type="dxa" w:w="90"/>
              <w:left w:type="dxa" w:w="120"/>
              <w:bottom w:type="dxa" w:w="90"/>
              <w:right w:type="dxa" w:w="120"/>
            </w:tcMar>
          </w:tcPr>
          <w:p>
            <w:r>
              <w:rPr>
                <w:b/>
                <w:bCs/>
                <w:color w:val="FFFFFF"/>
                <w:sz w:val="19"/>
                <w:szCs w:val="19"/>
              </w:rPr>
              <w:t xml:space="preserve">Token</w:t>
            </w:r>
          </w:p>
        </w:tc>
        <w:tc>
          <w:tcPr>
            <w:tcW w:type="dxa" w:w="2600"/>
            <w:shd w:fill="211F2E" w:val="clear"/>
            <w:tcMar>
              <w:top w:type="dxa" w:w="90"/>
              <w:left w:type="dxa" w:w="120"/>
              <w:bottom w:type="dxa" w:w="90"/>
              <w:right w:type="dxa" w:w="120"/>
            </w:tcMar>
          </w:tcPr>
          <w:p>
            <w:r>
              <w:rPr>
                <w:b/>
                <w:bCs/>
                <w:color w:val="FFFFFF"/>
                <w:sz w:val="19"/>
                <w:szCs w:val="19"/>
              </w:rPr>
              <w:t xml:space="preserve">Value</w:t>
            </w:r>
          </w:p>
        </w:tc>
        <w:tc>
          <w:tcPr>
            <w:tcW w:type="dxa" w:w="4150"/>
            <w:shd w:fill="211F2E" w:val="clear"/>
            <w:tcMar>
              <w:top w:type="dxa" w:w="90"/>
              <w:left w:type="dxa" w:w="120"/>
              <w:bottom w:type="dxa" w:w="90"/>
              <w:right w:type="dxa" w:w="120"/>
            </w:tcMar>
          </w:tcPr>
          <w:p>
            <w:r>
              <w:rPr>
                <w:b/>
                <w:bCs/>
                <w:color w:val="FFFFFF"/>
                <w:sz w:val="19"/>
                <w:szCs w:val="19"/>
              </w:rPr>
              <w:t xml:space="preserve">Use</w:t>
            </w:r>
          </w:p>
        </w:tc>
      </w:tr>
      <w:tr>
        <w:tc>
          <w:tcPr>
            <w:tcW w:type="dxa" w:w="2600"/>
            <w:shd w:fill="FFFFFF" w:val="clear"/>
            <w:tcMar>
              <w:top w:type="dxa" w:w="90"/>
              <w:left w:type="dxa" w:w="120"/>
              <w:bottom w:type="dxa" w:w="90"/>
              <w:right w:type="dxa" w:w="120"/>
            </w:tcMar>
          </w:tcPr>
          <w:p>
            <w:r>
              <w:rPr>
                <w:b w:val="false"/>
                <w:bCs w:val="false"/>
                <w:color w:val="2C2A22"/>
                <w:sz w:val="19"/>
                <w:szCs w:val="19"/>
              </w:rPr>
              <w:t xml:space="preserve">Ink</w:t>
            </w:r>
          </w:p>
        </w:tc>
        <w:tc>
          <w:tcPr>
            <w:tcW w:type="dxa" w:w="2600"/>
            <w:shd w:fill="FFFFFF" w:val="clear"/>
            <w:tcMar>
              <w:top w:type="dxa" w:w="90"/>
              <w:left w:type="dxa" w:w="120"/>
              <w:bottom w:type="dxa" w:w="90"/>
              <w:right w:type="dxa" w:w="120"/>
            </w:tcMar>
          </w:tcPr>
          <w:p>
            <w:r>
              <w:rPr>
                <w:b w:val="false"/>
                <w:bCs w:val="false"/>
                <w:color w:val="2C2A22"/>
                <w:sz w:val="19"/>
                <w:szCs w:val="19"/>
              </w:rPr>
              <w:t xml:space="preserve">#211F2E</w:t>
            </w:r>
          </w:p>
        </w:tc>
        <w:tc>
          <w:tcPr>
            <w:tcW w:type="dxa" w:w="4150"/>
            <w:shd w:fill="FFFFFF" w:val="clear"/>
            <w:tcMar>
              <w:top w:type="dxa" w:w="90"/>
              <w:left w:type="dxa" w:w="120"/>
              <w:bottom w:type="dxa" w:w="90"/>
              <w:right w:type="dxa" w:w="120"/>
            </w:tcMar>
          </w:tcPr>
          <w:p>
            <w:r>
              <w:rPr>
                <w:b w:val="false"/>
                <w:bCs w:val="false"/>
                <w:color w:val="2C2A22"/>
                <w:sz w:val="19"/>
                <w:szCs w:val="19"/>
              </w:rPr>
              <w:t xml:space="preserve">Headlines, digit text</w:t>
            </w:r>
          </w:p>
        </w:tc>
      </w:tr>
      <w:tr>
        <w:tc>
          <w:tcPr>
            <w:tcW w:type="dxa" w:w="2600"/>
            <w:shd w:fill="F7F0DC" w:val="clear"/>
            <w:tcMar>
              <w:top w:type="dxa" w:w="90"/>
              <w:left w:type="dxa" w:w="120"/>
              <w:bottom w:type="dxa" w:w="90"/>
              <w:right w:type="dxa" w:w="120"/>
            </w:tcMar>
          </w:tcPr>
          <w:p>
            <w:r>
              <w:rPr>
                <w:b w:val="false"/>
                <w:bCs w:val="false"/>
                <w:color w:val="2C2A22"/>
                <w:sz w:val="19"/>
                <w:szCs w:val="19"/>
              </w:rPr>
              <w:t xml:space="preserve">Parchment</w:t>
            </w:r>
          </w:p>
        </w:tc>
        <w:tc>
          <w:tcPr>
            <w:tcW w:type="dxa" w:w="2600"/>
            <w:shd w:fill="F7F0DC" w:val="clear"/>
            <w:tcMar>
              <w:top w:type="dxa" w:w="90"/>
              <w:left w:type="dxa" w:w="120"/>
              <w:bottom w:type="dxa" w:w="90"/>
              <w:right w:type="dxa" w:w="120"/>
            </w:tcMar>
          </w:tcPr>
          <w:p>
            <w:r>
              <w:rPr>
                <w:b w:val="false"/>
                <w:bCs w:val="false"/>
                <w:color w:val="2C2A22"/>
                <w:sz w:val="19"/>
                <w:szCs w:val="19"/>
              </w:rPr>
              <w:t xml:space="preserve">#ECE0C2</w:t>
            </w:r>
          </w:p>
        </w:tc>
        <w:tc>
          <w:tcPr>
            <w:tcW w:type="dxa" w:w="4150"/>
            <w:shd w:fill="F7F0DC" w:val="clear"/>
            <w:tcMar>
              <w:top w:type="dxa" w:w="90"/>
              <w:left w:type="dxa" w:w="120"/>
              <w:bottom w:type="dxa" w:w="90"/>
              <w:right w:type="dxa" w:w="120"/>
            </w:tcMar>
          </w:tcPr>
          <w:p>
            <w:r>
              <w:rPr>
                <w:b w:val="false"/>
                <w:bCs w:val="false"/>
                <w:color w:val="2C2A22"/>
                <w:sz w:val="19"/>
                <w:szCs w:val="19"/>
              </w:rPr>
              <w:t xml:space="preserve">Page background</w:t>
            </w:r>
          </w:p>
        </w:tc>
      </w:tr>
      <w:tr>
        <w:tc>
          <w:tcPr>
            <w:tcW w:type="dxa" w:w="2600"/>
            <w:shd w:fill="FFFFFF" w:val="clear"/>
            <w:tcMar>
              <w:top w:type="dxa" w:w="90"/>
              <w:left w:type="dxa" w:w="120"/>
              <w:bottom w:type="dxa" w:w="90"/>
              <w:right w:type="dxa" w:w="120"/>
            </w:tcMar>
          </w:tcPr>
          <w:p>
            <w:r>
              <w:rPr>
                <w:b w:val="false"/>
                <w:bCs w:val="false"/>
                <w:color w:val="2C2A22"/>
                <w:sz w:val="19"/>
                <w:szCs w:val="19"/>
              </w:rPr>
              <w:t xml:space="preserve">Vermilion</w:t>
            </w:r>
          </w:p>
        </w:tc>
        <w:tc>
          <w:tcPr>
            <w:tcW w:type="dxa" w:w="2600"/>
            <w:shd w:fill="FFFFFF" w:val="clear"/>
            <w:tcMar>
              <w:top w:type="dxa" w:w="90"/>
              <w:left w:type="dxa" w:w="120"/>
              <w:bottom w:type="dxa" w:w="90"/>
              <w:right w:type="dxa" w:w="120"/>
            </w:tcMar>
          </w:tcPr>
          <w:p>
            <w:r>
              <w:rPr>
                <w:b w:val="false"/>
                <w:bCs w:val="false"/>
                <w:color w:val="2C2A22"/>
                <w:sz w:val="19"/>
                <w:szCs w:val="19"/>
              </w:rPr>
              <w:t xml:space="preserve">#A8402F</w:t>
            </w:r>
          </w:p>
        </w:tc>
        <w:tc>
          <w:tcPr>
            <w:tcW w:type="dxa" w:w="4150"/>
            <w:shd w:fill="FFFFFF" w:val="clear"/>
            <w:tcMar>
              <w:top w:type="dxa" w:w="90"/>
              <w:left w:type="dxa" w:w="120"/>
              <w:bottom w:type="dxa" w:w="90"/>
              <w:right w:type="dxa" w:w="120"/>
            </w:tcMar>
          </w:tcPr>
          <w:p>
            <w:r>
              <w:rPr>
                <w:b w:val="false"/>
                <w:bCs w:val="false"/>
                <w:color w:val="2C2A22"/>
                <w:sz w:val="19"/>
                <w:szCs w:val="19"/>
              </w:rPr>
              <w:t xml:space="preserve">Primary accent, active states, cross-lines</w:t>
            </w:r>
          </w:p>
        </w:tc>
      </w:tr>
      <w:tr>
        <w:tc>
          <w:tcPr>
            <w:tcW w:type="dxa" w:w="2600"/>
            <w:shd w:fill="F7F0DC" w:val="clear"/>
            <w:tcMar>
              <w:top w:type="dxa" w:w="90"/>
              <w:left w:type="dxa" w:w="120"/>
              <w:bottom w:type="dxa" w:w="90"/>
              <w:right w:type="dxa" w:w="120"/>
            </w:tcMar>
          </w:tcPr>
          <w:p>
            <w:r>
              <w:rPr>
                <w:b w:val="false"/>
                <w:bCs w:val="false"/>
                <w:color w:val="2C2A22"/>
                <w:sz w:val="19"/>
                <w:szCs w:val="19"/>
              </w:rPr>
              <w:t xml:space="preserve">Gold</w:t>
            </w:r>
          </w:p>
        </w:tc>
        <w:tc>
          <w:tcPr>
            <w:tcW w:type="dxa" w:w="2600"/>
            <w:shd w:fill="F7F0DC" w:val="clear"/>
            <w:tcMar>
              <w:top w:type="dxa" w:w="90"/>
              <w:left w:type="dxa" w:w="120"/>
              <w:bottom w:type="dxa" w:w="90"/>
              <w:right w:type="dxa" w:w="120"/>
            </w:tcMar>
          </w:tcPr>
          <w:p>
            <w:r>
              <w:rPr>
                <w:b w:val="false"/>
                <w:bCs w:val="false"/>
                <w:color w:val="2C2A22"/>
                <w:sz w:val="19"/>
                <w:szCs w:val="19"/>
              </w:rPr>
              <w:t xml:space="preserve">#A9812F</w:t>
            </w:r>
          </w:p>
        </w:tc>
        <w:tc>
          <w:tcPr>
            <w:tcW w:type="dxa" w:w="4150"/>
            <w:shd w:fill="F7F0DC" w:val="clear"/>
            <w:tcMar>
              <w:top w:type="dxa" w:w="90"/>
              <w:left w:type="dxa" w:w="120"/>
              <w:bottom w:type="dxa" w:w="90"/>
              <w:right w:type="dxa" w:w="120"/>
            </w:tcMar>
          </w:tcPr>
          <w:p>
            <w:r>
              <w:rPr>
                <w:b w:val="false"/>
                <w:bCs w:val="false"/>
                <w:color w:val="2C2A22"/>
                <w:sz w:val="19"/>
                <w:szCs w:val="19"/>
              </w:rPr>
              <w:t xml:space="preserve">Final-answer highlight</w:t>
            </w:r>
          </w:p>
        </w:tc>
      </w:tr>
      <w:tr>
        <w:tc>
          <w:tcPr>
            <w:tcW w:type="dxa" w:w="2600"/>
            <w:shd w:fill="FFFFFF" w:val="clear"/>
            <w:tcMar>
              <w:top w:type="dxa" w:w="90"/>
              <w:left w:type="dxa" w:w="120"/>
              <w:bottom w:type="dxa" w:w="90"/>
              <w:right w:type="dxa" w:w="120"/>
            </w:tcMar>
          </w:tcPr>
          <w:p>
            <w:r>
              <w:rPr>
                <w:b w:val="false"/>
                <w:bCs w:val="false"/>
                <w:color w:val="2C2A22"/>
                <w:sz w:val="19"/>
                <w:szCs w:val="19"/>
              </w:rPr>
              <w:t xml:space="preserve">Teal</w:t>
            </w:r>
          </w:p>
        </w:tc>
        <w:tc>
          <w:tcPr>
            <w:tcW w:type="dxa" w:w="2600"/>
            <w:shd w:fill="FFFFFF" w:val="clear"/>
            <w:tcMar>
              <w:top w:type="dxa" w:w="90"/>
              <w:left w:type="dxa" w:w="120"/>
              <w:bottom w:type="dxa" w:w="90"/>
              <w:right w:type="dxa" w:w="120"/>
            </w:tcMar>
          </w:tcPr>
          <w:p>
            <w:r>
              <w:rPr>
                <w:b w:val="false"/>
                <w:bCs w:val="false"/>
                <w:color w:val="2C2A22"/>
                <w:sz w:val="19"/>
                <w:szCs w:val="19"/>
              </w:rPr>
              <w:t xml:space="preserve">#294C48</w:t>
            </w:r>
          </w:p>
        </w:tc>
        <w:tc>
          <w:tcPr>
            <w:tcW w:type="dxa" w:w="4150"/>
            <w:shd w:fill="FFFFFF" w:val="clear"/>
            <w:tcMar>
              <w:top w:type="dxa" w:w="90"/>
              <w:left w:type="dxa" w:w="120"/>
              <w:bottom w:type="dxa" w:w="90"/>
              <w:right w:type="dxa" w:w="120"/>
            </w:tcMar>
          </w:tcPr>
          <w:p>
            <w:r>
              <w:rPr>
                <w:b w:val="false"/>
                <w:bCs w:val="false"/>
                <w:color w:val="2C2A22"/>
                <w:sz w:val="19"/>
                <w:szCs w:val="19"/>
              </w:rPr>
              <w:t xml:space="preserve">Secondary accent, play control</w:t>
            </w:r>
          </w:p>
        </w:tc>
      </w:tr>
    </w:tbl>
    <w:p>
      <w:pPr>
        <w:pStyle w:val="Heading1"/>
        <w:pBdr>
          <w:bottom w:val="single" w:color="DDCCA0" w:sz="6" w:space="4"/>
        </w:pBdr>
        <w:spacing w:after="140" w:before="320"/>
      </w:pPr>
      <w:r>
        <w:rPr>
          <w:rFonts w:ascii="Georgia" w:cs="Georgia" w:eastAsia="Georgia" w:hAnsi="Georgia"/>
          <w:b/>
          <w:bCs/>
          <w:color w:val="211F2E"/>
          <w:sz w:val="30"/>
          <w:szCs w:val="30"/>
        </w:rPr>
        <w:t xml:space="preserve">9. Acceptance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50"/>
      </w:tblGrid>
      <w:tr>
        <w:tc>
          <w:tcPr>
            <w:tcW w:type="dxa" w:w="700"/>
            <w:shd w:fill="A8402F" w:val="clear"/>
            <w:tcMar>
              <w:top w:type="dxa" w:w="90"/>
              <w:left w:type="dxa" w:w="120"/>
              <w:bottom w:type="dxa" w:w="90"/>
              <w:right w:type="dxa" w:w="120"/>
            </w:tcMar>
          </w:tcPr>
          <w:p>
            <w:r>
              <w:rPr>
                <w:b/>
                <w:bCs/>
                <w:color w:val="FFFFFF"/>
                <w:sz w:val="19"/>
                <w:szCs w:val="19"/>
              </w:rPr>
              <w:t xml:space="preserve">#</w:t>
            </w:r>
          </w:p>
        </w:tc>
        <w:tc>
          <w:tcPr>
            <w:tcW w:type="dxa" w:w="5000"/>
            <w:shd w:fill="A8402F" w:val="clear"/>
            <w:tcMar>
              <w:top w:type="dxa" w:w="90"/>
              <w:left w:type="dxa" w:w="120"/>
              <w:bottom w:type="dxa" w:w="90"/>
              <w:right w:type="dxa" w:w="120"/>
            </w:tcMar>
          </w:tcPr>
          <w:p>
            <w:r>
              <w:rPr>
                <w:b/>
                <w:bCs/>
                <w:color w:val="FFFFFF"/>
                <w:sz w:val="19"/>
                <w:szCs w:val="19"/>
              </w:rPr>
              <w:t xml:space="preserve">Criterion</w:t>
            </w:r>
          </w:p>
        </w:tc>
        <w:tc>
          <w:tcPr>
            <w:tcW w:type="dxa" w:w="3650"/>
            <w:shd w:fill="A8402F" w:val="clear"/>
            <w:tcMar>
              <w:top w:type="dxa" w:w="90"/>
              <w:left w:type="dxa" w:w="120"/>
              <w:bottom w:type="dxa" w:w="90"/>
              <w:right w:type="dxa" w:w="120"/>
            </w:tcMar>
          </w:tcPr>
          <w:p>
            <w:r>
              <w:rPr>
                <w:b/>
                <w:bCs/>
                <w:color w:val="FFFFFF"/>
                <w:sz w:val="19"/>
                <w:szCs w:val="19"/>
              </w:rPr>
              <w:t xml:space="preserve">Verification</w:t>
            </w:r>
          </w:p>
        </w:tc>
      </w:tr>
      <w:tr>
        <w:tc>
          <w:tcPr>
            <w:tcW w:type="dxa" w:w="700"/>
            <w:shd w:fill="FFFFFF" w:val="clear"/>
            <w:tcMar>
              <w:top w:type="dxa" w:w="90"/>
              <w:left w:type="dxa" w:w="120"/>
              <w:bottom w:type="dxa" w:w="90"/>
              <w:right w:type="dxa" w:w="120"/>
            </w:tcMar>
          </w:tcPr>
          <w:p>
            <w:r>
              <w:rPr>
                <w:b w:val="false"/>
                <w:bCs w:val="false"/>
                <w:color w:val="2C2A22"/>
                <w:sz w:val="19"/>
                <w:szCs w:val="19"/>
              </w:rPr>
              <w:t xml:space="preserve">1</w:t>
            </w:r>
          </w:p>
        </w:tc>
        <w:tc>
          <w:tcPr>
            <w:tcW w:type="dxa" w:w="5000"/>
            <w:shd w:fill="FFFFFF" w:val="clear"/>
            <w:tcMar>
              <w:top w:type="dxa" w:w="90"/>
              <w:left w:type="dxa" w:w="120"/>
              <w:bottom w:type="dxa" w:w="90"/>
              <w:right w:type="dxa" w:w="120"/>
            </w:tcMar>
          </w:tcPr>
          <w:p>
            <w:r>
              <w:rPr>
                <w:b w:val="false"/>
                <w:bCs w:val="false"/>
                <w:color w:val="2C2A22"/>
                <w:sz w:val="19"/>
                <w:szCs w:val="19"/>
              </w:rPr>
              <w:t xml:space="preserve">Every calculation matches standard arithmetic (ground-truth checked)</w:t>
            </w:r>
          </w:p>
        </w:tc>
        <w:tc>
          <w:tcPr>
            <w:tcW w:type="dxa" w:w="3650"/>
            <w:shd w:fill="FFFFFF" w:val="clear"/>
            <w:tcMar>
              <w:top w:type="dxa" w:w="90"/>
              <w:left w:type="dxa" w:w="120"/>
              <w:bottom w:type="dxa" w:w="90"/>
              <w:right w:type="dxa" w:w="120"/>
            </w:tcMar>
          </w:tcPr>
          <w:p>
            <w:r>
              <w:rPr>
                <w:b w:val="false"/>
                <w:bCs w:val="false"/>
                <w:color w:val="2C2A22"/>
                <w:sz w:val="19"/>
                <w:szCs w:val="19"/>
              </w:rPr>
              <w:t xml:space="preserve">Automated comparison against direct computation for randomised inputs</w:t>
            </w:r>
          </w:p>
        </w:tc>
      </w:tr>
      <w:tr>
        <w:tc>
          <w:tcPr>
            <w:tcW w:type="dxa" w:w="700"/>
            <w:shd w:fill="F7F0DC" w:val="clear"/>
            <w:tcMar>
              <w:top w:type="dxa" w:w="90"/>
              <w:left w:type="dxa" w:w="120"/>
              <w:bottom w:type="dxa" w:w="90"/>
              <w:right w:type="dxa" w:w="120"/>
            </w:tcMar>
          </w:tcPr>
          <w:p>
            <w:r>
              <w:rPr>
                <w:b w:val="false"/>
                <w:bCs w:val="false"/>
                <w:color w:val="2C2A22"/>
                <w:sz w:val="19"/>
                <w:szCs w:val="19"/>
              </w:rPr>
              <w:t xml:space="preserve">2</w:t>
            </w:r>
          </w:p>
        </w:tc>
        <w:tc>
          <w:tcPr>
            <w:tcW w:type="dxa" w:w="5000"/>
            <w:shd w:fill="F7F0DC" w:val="clear"/>
            <w:tcMar>
              <w:top w:type="dxa" w:w="90"/>
              <w:left w:type="dxa" w:w="120"/>
              <w:bottom w:type="dxa" w:w="90"/>
              <w:right w:type="dxa" w:w="120"/>
            </w:tcMar>
          </w:tcPr>
          <w:p>
            <w:r>
              <w:rPr>
                <w:b w:val="false"/>
                <w:bCs w:val="false"/>
                <w:color w:val="2C2A22"/>
                <w:sz w:val="19"/>
                <w:szCs w:val="19"/>
              </w:rPr>
              <w:t xml:space="preserve">Each operation shows a named sutra and a plain-language step description</w:t>
            </w:r>
          </w:p>
        </w:tc>
        <w:tc>
          <w:tcPr>
            <w:tcW w:type="dxa" w:w="3650"/>
            <w:shd w:fill="F7F0DC" w:val="clear"/>
            <w:tcMar>
              <w:top w:type="dxa" w:w="90"/>
              <w:left w:type="dxa" w:w="120"/>
              <w:bottom w:type="dxa" w:w="90"/>
              <w:right w:type="dxa" w:w="120"/>
            </w:tcMar>
          </w:tcPr>
          <w:p>
            <w:r>
              <w:rPr>
                <w:b w:val="false"/>
                <w:bCs w:val="false"/>
                <w:color w:val="2C2A22"/>
                <w:sz w:val="19"/>
                <w:szCs w:val="19"/>
              </w:rPr>
              <w:t xml:space="preserve">Manual review of step text per operation</w:t>
            </w:r>
          </w:p>
        </w:tc>
      </w:tr>
      <w:tr>
        <w:tc>
          <w:tcPr>
            <w:tcW w:type="dxa" w:w="700"/>
            <w:shd w:fill="FFFFFF" w:val="clear"/>
            <w:tcMar>
              <w:top w:type="dxa" w:w="90"/>
              <w:left w:type="dxa" w:w="120"/>
              <w:bottom w:type="dxa" w:w="90"/>
              <w:right w:type="dxa" w:w="120"/>
            </w:tcMar>
          </w:tcPr>
          <w:p>
            <w:r>
              <w:rPr>
                <w:b w:val="false"/>
                <w:bCs w:val="false"/>
                <w:color w:val="2C2A22"/>
                <w:sz w:val="19"/>
                <w:szCs w:val="19"/>
              </w:rPr>
              <w:t xml:space="preserve">3</w:t>
            </w:r>
          </w:p>
        </w:tc>
        <w:tc>
          <w:tcPr>
            <w:tcW w:type="dxa" w:w="5000"/>
            <w:shd w:fill="FFFFFF" w:val="clear"/>
            <w:tcMar>
              <w:top w:type="dxa" w:w="90"/>
              <w:left w:type="dxa" w:w="120"/>
              <w:bottom w:type="dxa" w:w="90"/>
              <w:right w:type="dxa" w:w="120"/>
            </w:tcMar>
          </w:tcPr>
          <w:p>
            <w:r>
              <w:rPr>
                <w:b w:val="false"/>
                <w:bCs w:val="false"/>
                <w:color w:val="2C2A22"/>
                <w:sz w:val="19"/>
                <w:szCs w:val="19"/>
              </w:rPr>
              <w:t xml:space="preserve">Steps can be stepped through forward/back, played automatically, and reset</w:t>
            </w:r>
          </w:p>
        </w:tc>
        <w:tc>
          <w:tcPr>
            <w:tcW w:type="dxa" w:w="3650"/>
            <w:shd w:fill="FFFFFF" w:val="clear"/>
            <w:tcMar>
              <w:top w:type="dxa" w:w="90"/>
              <w:left w:type="dxa" w:w="120"/>
              <w:bottom w:type="dxa" w:w="90"/>
              <w:right w:type="dxa" w:w="120"/>
            </w:tcMar>
          </w:tcPr>
          <w:p>
            <w:r>
              <w:rPr>
                <w:b w:val="false"/>
                <w:bCs w:val="false"/>
                <w:color w:val="2C2A22"/>
                <w:sz w:val="19"/>
                <w:szCs w:val="19"/>
              </w:rPr>
              <w:t xml:space="preserve">Functional test of player controls</w:t>
            </w:r>
          </w:p>
        </w:tc>
      </w:tr>
      <w:tr>
        <w:tc>
          <w:tcPr>
            <w:tcW w:type="dxa" w:w="700"/>
            <w:shd w:fill="F7F0DC" w:val="clear"/>
            <w:tcMar>
              <w:top w:type="dxa" w:w="90"/>
              <w:left w:type="dxa" w:w="120"/>
              <w:bottom w:type="dxa" w:w="90"/>
              <w:right w:type="dxa" w:w="120"/>
            </w:tcMar>
          </w:tcPr>
          <w:p>
            <w:r>
              <w:rPr>
                <w:b w:val="false"/>
                <w:bCs w:val="false"/>
                <w:color w:val="2C2A22"/>
                <w:sz w:val="19"/>
                <w:szCs w:val="19"/>
              </w:rPr>
              <w:t xml:space="preserve">4</w:t>
            </w:r>
          </w:p>
        </w:tc>
        <w:tc>
          <w:tcPr>
            <w:tcW w:type="dxa" w:w="5000"/>
            <w:shd w:fill="F7F0DC" w:val="clear"/>
            <w:tcMar>
              <w:top w:type="dxa" w:w="90"/>
              <w:left w:type="dxa" w:w="120"/>
              <w:bottom w:type="dxa" w:w="90"/>
              <w:right w:type="dxa" w:w="120"/>
            </w:tcMar>
          </w:tcPr>
          <w:p>
            <w:r>
              <w:rPr>
                <w:b w:val="false"/>
                <w:bCs w:val="false"/>
                <w:color w:val="2C2A22"/>
                <w:sz w:val="19"/>
                <w:szCs w:val="19"/>
              </w:rPr>
              <w:t xml:space="preserve">Division never displays an incorrect Nikhilam result</w:t>
            </w:r>
          </w:p>
        </w:tc>
        <w:tc>
          <w:tcPr>
            <w:tcW w:type="dxa" w:w="3650"/>
            <w:shd w:fill="F7F0DC" w:val="clear"/>
            <w:tcMar>
              <w:top w:type="dxa" w:w="90"/>
              <w:left w:type="dxa" w:w="120"/>
              <w:bottom w:type="dxa" w:w="90"/>
              <w:right w:type="dxa" w:w="120"/>
            </w:tcMar>
          </w:tcPr>
          <w:p>
            <w:r>
              <w:rPr>
                <w:b w:val="false"/>
                <w:bCs w:val="false"/>
                <w:color w:val="2C2A22"/>
                <w:sz w:val="19"/>
                <w:szCs w:val="19"/>
              </w:rPr>
              <w:t xml:space="preserve">Falls back to standard column division whenever the fast method doesn't match ground truth</w:t>
            </w:r>
          </w:p>
        </w:tc>
      </w:tr>
      <w:tr>
        <w:tc>
          <w:tcPr>
            <w:tcW w:type="dxa" w:w="700"/>
            <w:shd w:fill="FFFFFF" w:val="clear"/>
            <w:tcMar>
              <w:top w:type="dxa" w:w="90"/>
              <w:left w:type="dxa" w:w="120"/>
              <w:bottom w:type="dxa" w:w="90"/>
              <w:right w:type="dxa" w:w="120"/>
            </w:tcMar>
          </w:tcPr>
          <w:p>
            <w:r>
              <w:rPr>
                <w:b w:val="false"/>
                <w:bCs w:val="false"/>
                <w:color w:val="2C2A22"/>
                <w:sz w:val="19"/>
                <w:szCs w:val="19"/>
              </w:rPr>
              <w:t xml:space="preserve">5</w:t>
            </w:r>
          </w:p>
        </w:tc>
        <w:tc>
          <w:tcPr>
            <w:tcW w:type="dxa" w:w="5000"/>
            <w:shd w:fill="FFFFFF" w:val="clear"/>
            <w:tcMar>
              <w:top w:type="dxa" w:w="90"/>
              <w:left w:type="dxa" w:w="120"/>
              <w:bottom w:type="dxa" w:w="90"/>
              <w:right w:type="dxa" w:w="120"/>
            </w:tcMar>
          </w:tcPr>
          <w:p>
            <w:r>
              <w:rPr>
                <w:b w:val="false"/>
                <w:bCs w:val="false"/>
                <w:color w:val="2C2A22"/>
                <w:sz w:val="19"/>
                <w:szCs w:val="19"/>
              </w:rPr>
              <w:t xml:space="preserve">Layout is usable on a mobile-width screen</w:t>
            </w:r>
          </w:p>
        </w:tc>
        <w:tc>
          <w:tcPr>
            <w:tcW w:type="dxa" w:w="3650"/>
            <w:shd w:fill="FFFFFF" w:val="clear"/>
            <w:tcMar>
              <w:top w:type="dxa" w:w="90"/>
              <w:left w:type="dxa" w:w="120"/>
              <w:bottom w:type="dxa" w:w="90"/>
              <w:right w:type="dxa" w:w="120"/>
            </w:tcMar>
          </w:tcPr>
          <w:p>
            <w:r>
              <w:rPr>
                <w:b w:val="false"/>
                <w:bCs w:val="false"/>
                <w:color w:val="2C2A22"/>
                <w:sz w:val="19"/>
                <w:szCs w:val="19"/>
              </w:rPr>
              <w:t xml:space="preserve">Manual check at ~380px viewport width</w:t>
            </w:r>
          </w:p>
        </w:tc>
      </w:tr>
      <w:tr>
        <w:tc>
          <w:tcPr>
            <w:tcW w:type="dxa" w:w="700"/>
            <w:shd w:fill="F7F0DC" w:val="clear"/>
            <w:tcMar>
              <w:top w:type="dxa" w:w="90"/>
              <w:left w:type="dxa" w:w="120"/>
              <w:bottom w:type="dxa" w:w="90"/>
              <w:right w:type="dxa" w:w="120"/>
            </w:tcMar>
          </w:tcPr>
          <w:p>
            <w:r>
              <w:rPr>
                <w:b w:val="false"/>
                <w:bCs w:val="false"/>
                <w:color w:val="2C2A22"/>
                <w:sz w:val="19"/>
                <w:szCs w:val="19"/>
              </w:rPr>
              <w:t xml:space="preserve">6</w:t>
            </w:r>
          </w:p>
        </w:tc>
        <w:tc>
          <w:tcPr>
            <w:tcW w:type="dxa" w:w="5000"/>
            <w:shd w:fill="F7F0DC" w:val="clear"/>
            <w:tcMar>
              <w:top w:type="dxa" w:w="90"/>
              <w:left w:type="dxa" w:w="120"/>
              <w:bottom w:type="dxa" w:w="90"/>
              <w:right w:type="dxa" w:w="120"/>
            </w:tcMar>
          </w:tcPr>
          <w:p>
            <w:r>
              <w:rPr>
                <w:b w:val="false"/>
                <w:bCs w:val="false"/>
                <w:color w:val="2C2A22"/>
                <w:sz w:val="19"/>
                <w:szCs w:val="19"/>
              </w:rPr>
              <w:t xml:space="preserve">The homepage's fact card never repeats the same fact twice in a row</w:t>
            </w:r>
          </w:p>
        </w:tc>
        <w:tc>
          <w:tcPr>
            <w:tcW w:type="dxa" w:w="3650"/>
            <w:shd w:fill="F7F0DC" w:val="clear"/>
            <w:tcMar>
              <w:top w:type="dxa" w:w="90"/>
              <w:left w:type="dxa" w:w="120"/>
              <w:bottom w:type="dxa" w:w="90"/>
              <w:right w:type="dxa" w:w="120"/>
            </w:tcMar>
          </w:tcPr>
          <w:p>
            <w:r>
              <w:rPr>
                <w:b w:val="false"/>
                <w:bCs w:val="false"/>
                <w:color w:val="2C2A22"/>
                <w:sz w:val="19"/>
                <w:szCs w:val="19"/>
              </w:rPr>
              <w:t xml:space="preserve">Functional test of the “show another fact” control</w:t>
            </w:r>
          </w:p>
        </w:tc>
      </w:tr>
      <w:tr>
        <w:tc>
          <w:tcPr>
            <w:tcW w:type="dxa" w:w="700"/>
            <w:shd w:fill="FFFFFF" w:val="clear"/>
            <w:tcMar>
              <w:top w:type="dxa" w:w="90"/>
              <w:left w:type="dxa" w:w="120"/>
              <w:bottom w:type="dxa" w:w="90"/>
              <w:right w:type="dxa" w:w="120"/>
            </w:tcMar>
          </w:tcPr>
          <w:p>
            <w:r>
              <w:rPr>
                <w:b w:val="false"/>
                <w:bCs w:val="false"/>
                <w:color w:val="2C2A22"/>
                <w:sz w:val="19"/>
                <w:szCs w:val="19"/>
              </w:rPr>
              <w:t xml:space="preserve">7</w:t>
            </w:r>
          </w:p>
        </w:tc>
        <w:tc>
          <w:tcPr>
            <w:tcW w:type="dxa" w:w="5000"/>
            <w:shd w:fill="FFFFFF" w:val="clear"/>
            <w:tcMar>
              <w:top w:type="dxa" w:w="90"/>
              <w:left w:type="dxa" w:w="120"/>
              <w:bottom w:type="dxa" w:w="90"/>
              <w:right w:type="dxa" w:w="120"/>
            </w:tcMar>
          </w:tcPr>
          <w:p>
            <w:r>
              <w:rPr>
                <w:b w:val="false"/>
                <w:bCs w:val="false"/>
                <w:color w:val="2C2A22"/>
                <w:sz w:val="19"/>
                <w:szCs w:val="19"/>
              </w:rPr>
              <w:t xml:space="preserve">The homepage explains IKS and shows a chronological timeline before the visitor reaches the calculator</w:t>
            </w:r>
          </w:p>
        </w:tc>
        <w:tc>
          <w:tcPr>
            <w:tcW w:type="dxa" w:w="3650"/>
            <w:shd w:fill="FFFFFF" w:val="clear"/>
            <w:tcMar>
              <w:top w:type="dxa" w:w="90"/>
              <w:left w:type="dxa" w:w="120"/>
              <w:bottom w:type="dxa" w:w="90"/>
              <w:right w:type="dxa" w:w="120"/>
            </w:tcMar>
          </w:tcPr>
          <w:p>
            <w:r>
              <w:rPr>
                <w:b w:val="false"/>
                <w:bCs w:val="false"/>
                <w:color w:val="2C2A22"/>
                <w:sz w:val="19"/>
                <w:szCs w:val="19"/>
              </w:rPr>
              <w:t xml:space="preserve">Manual content review of the home page</w:t>
            </w:r>
          </w:p>
        </w:tc>
      </w:tr>
    </w:tbl>
    <w:p>
      <w:pPr>
        <w:pStyle w:val="Heading1"/>
        <w:pBdr>
          <w:bottom w:val="single" w:color="DDCCA0" w:sz="6" w:space="4"/>
        </w:pBdr>
        <w:spacing w:after="140" w:before="320"/>
      </w:pPr>
      <w:r>
        <w:rPr>
          <w:rFonts w:ascii="Georgia" w:cs="Georgia" w:eastAsia="Georgia" w:hAnsi="Georgia"/>
          <w:b/>
          <w:bCs/>
          <w:color w:val="211F2E"/>
          <w:sz w:val="30"/>
          <w:szCs w:val="30"/>
        </w:rPr>
        <w:t xml:space="preserve">10. Assumptions &amp; Constraints</w:t>
      </w:r>
    </w:p>
    <w:p>
      <w:pPr>
        <w:pStyle w:val="ListParagraph"/>
        <w:numPr>
          <w:ilvl w:val="0"/>
          <w:numId w:val="2"/>
        </w:numPr>
        <w:spacing w:after="70" w:line="280"/>
      </w:pPr>
      <w:r>
        <w:rPr>
          <w:color w:val="2C2A22"/>
          <w:sz w:val="21"/>
          <w:szCs w:val="21"/>
        </w:rPr>
        <w:t xml:space="preserve">Calculator inputs are restricted to non-negative whole numbers entered as digit strings.</w:t>
      </w:r>
    </w:p>
    <w:p>
      <w:pPr>
        <w:pStyle w:val="ListParagraph"/>
        <w:numPr>
          <w:ilvl w:val="0"/>
          <w:numId w:val="2"/>
        </w:numPr>
        <w:spacing w:after="70" w:line="280"/>
      </w:pPr>
      <w:r>
        <w:rPr>
          <w:color w:val="2C2A22"/>
          <w:sz w:val="21"/>
          <w:szCs w:val="21"/>
        </w:rPr>
        <w:t xml:space="preserve">The assignment audience is expected to have basic familiarity with place value, but not necessarily with Vedic Mathematics or IKS.</w:t>
      </w:r>
    </w:p>
    <w:p>
      <w:pPr>
        <w:pStyle w:val="ListParagraph"/>
        <w:numPr>
          <w:ilvl w:val="0"/>
          <w:numId w:val="2"/>
        </w:numPr>
        <w:spacing w:after="70" w:line="280"/>
      </w:pPr>
      <w:r>
        <w:rPr>
          <w:color w:val="2C2A22"/>
          <w:sz w:val="21"/>
          <w:szCs w:val="21"/>
        </w:rPr>
        <w:t xml:space="preserve">Only one calculation is shown at a time; there is no comparison or history view in this version.</w:t>
      </w:r>
    </w:p>
    <w:p>
      <w:pPr>
        <w:pStyle w:val="ListParagraph"/>
        <w:numPr>
          <w:ilvl w:val="0"/>
          <w:numId w:val="2"/>
        </w:numPr>
        <w:spacing w:after="70" w:line="280"/>
      </w:pPr>
      <w:r>
        <w:rPr>
          <w:color w:val="2C2A22"/>
          <w:sz w:val="21"/>
          <w:szCs w:val="21"/>
        </w:rPr>
        <w:t xml:space="preserve">The home page's fact list is a fixed, curated set for this version rather than a live or expandable content source.</w:t>
      </w:r>
    </w:p>
    <w:p>
      <w:pPr>
        <w:pStyle w:val="Heading1"/>
        <w:pBdr>
          <w:bottom w:val="single" w:color="DDCCA0" w:sz="6" w:space="4"/>
        </w:pBdr>
        <w:spacing w:after="140" w:before="320"/>
      </w:pPr>
      <w:r>
        <w:rPr>
          <w:rFonts w:ascii="Georgia" w:cs="Georgia" w:eastAsia="Georgia" w:hAnsi="Georgia"/>
          <w:b/>
          <w:bCs/>
          <w:color w:val="211F2E"/>
          <w:sz w:val="30"/>
          <w:szCs w:val="30"/>
        </w:rPr>
        <w:t xml:space="preserve">11. Future Enhancements</w:t>
      </w:r>
    </w:p>
    <w:p>
      <w:pPr>
        <w:pStyle w:val="ListParagraph"/>
        <w:numPr>
          <w:ilvl w:val="0"/>
          <w:numId w:val="2"/>
        </w:numPr>
        <w:spacing w:after="70" w:line="280"/>
      </w:pPr>
      <w:r>
        <w:rPr>
          <w:color w:val="2C2A22"/>
          <w:sz w:val="21"/>
          <w:szCs w:val="21"/>
        </w:rPr>
        <w:t xml:space="preserve">Support for decimals and negative numbers in the calculator.</w:t>
      </w:r>
    </w:p>
    <w:p>
      <w:pPr>
        <w:pStyle w:val="ListParagraph"/>
        <w:numPr>
          <w:ilvl w:val="0"/>
          <w:numId w:val="2"/>
        </w:numPr>
        <w:spacing w:after="70" w:line="280"/>
      </w:pPr>
      <w:r>
        <w:rPr>
          <w:color w:val="2C2A22"/>
          <w:sz w:val="21"/>
          <w:szCs w:val="21"/>
        </w:rPr>
        <w:t xml:space="preserve">Additional sutras (e.g. Anurupyena for proportional multiplication, Vedic square-root and cube-root methods).</w:t>
      </w:r>
    </w:p>
    <w:p>
      <w:pPr>
        <w:pStyle w:val="ListParagraph"/>
        <w:numPr>
          <w:ilvl w:val="0"/>
          <w:numId w:val="2"/>
        </w:numPr>
        <w:spacing w:after="70" w:line="280"/>
      </w:pPr>
      <w:r>
        <w:rPr>
          <w:color w:val="2C2A22"/>
          <w:sz w:val="21"/>
          <w:szCs w:val="21"/>
        </w:rPr>
        <w:t xml:space="preserve">A practice/quiz mode that asks the user to predict the next step.</w:t>
      </w:r>
    </w:p>
    <w:p>
      <w:pPr>
        <w:pStyle w:val="ListParagraph"/>
        <w:numPr>
          <w:ilvl w:val="0"/>
          <w:numId w:val="2"/>
        </w:numPr>
        <w:spacing w:after="70" w:line="280"/>
      </w:pPr>
      <w:r>
        <w:rPr>
          <w:color w:val="2C2A22"/>
          <w:sz w:val="21"/>
          <w:szCs w:val="21"/>
        </w:rPr>
        <w:t xml:space="preserve">Regional language narration for steps and facts.</w:t>
      </w:r>
    </w:p>
    <w:p>
      <w:pPr>
        <w:pStyle w:val="ListParagraph"/>
        <w:numPr>
          <w:ilvl w:val="0"/>
          <w:numId w:val="2"/>
        </w:numPr>
        <w:spacing w:after="70" w:line="280"/>
      </w:pPr>
      <w:r>
        <w:rPr>
          <w:color w:val="2C2A22"/>
          <w:sz w:val="21"/>
          <w:szCs w:val="21"/>
        </w:rPr>
        <w:t xml:space="preserve">Expanding the fact list and timeline, potentially organised by topic (arithmetic, astronomy, linguistics) rather than a single chronological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2026-09-16T18:19:50.028Z</dcterms:created>
  <dcterms:modified xsi:type="dcterms:W3CDTF">2026-09-16T18:19:50.028Z</dcterms:modified>
</cp:coreProperties>
</file>

<file path=docProps/custom.xml><?xml version="1.0" encoding="utf-8"?>
<Properties xmlns="http://schemas.openxmlformats.org/officeDocument/2006/custom-properties" xmlns:vt="http://schemas.openxmlformats.org/officeDocument/2006/docPropsVTypes"/>
</file>