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Nirmala UI" w:cs="Nirmala UI" w:eastAsia="Nirmala UI" w:hAnsi="Nirmala UI"/>
          <w:i/>
          <w:iCs/>
          <w:color w:val="A8402F"/>
          <w:sz w:val="22"/>
          <w:szCs w:val="22"/>
        </w:rPr>
        <w:t xml:space="preserve">Ganita</w:t>
      </w:r>
    </w:p>
    <w:p>
      <w:pPr>
        <w:spacing w:after="60"/>
      </w:pPr>
      <w:r>
        <w:rPr>
          <w:rFonts w:ascii="Georgia" w:cs="Georgia" w:eastAsia="Georgia" w:hAnsi="Georgia"/>
          <w:b/>
          <w:bCs/>
          <w:color w:val="211F2E"/>
          <w:sz w:val="44"/>
          <w:szCs w:val="44"/>
        </w:rPr>
        <w:t xml:space="preserve">Technical Requirements Document</w:t>
      </w:r>
    </w:p>
    <w:p>
      <w:pPr>
        <w:spacing w:after="260"/>
      </w:pPr>
      <w:r>
        <w:rPr>
          <w:rFonts w:ascii="Georgia" w:cs="Georgia" w:eastAsia="Georgia" w:hAnsi="Georgia"/>
          <w:i/>
          <w:iCs/>
          <w:color w:val="55503F"/>
          <w:sz w:val="24"/>
          <w:szCs w:val="24"/>
        </w:rPr>
        <w:t xml:space="preserve">SwiftSum — architecture and implementation for the Next.js site</w:t>
      </w:r>
    </w:p>
    <w:p>
      <w:pPr>
        <w:spacing w:after="60"/>
      </w:pPr>
      <w:r>
        <w:rPr>
          <w:b/>
          <w:bCs/>
          <w:color w:val="211F2E"/>
          <w:sz w:val="21"/>
          <w:szCs w:val="21"/>
        </w:rPr>
        <w:t xml:space="preserve">Document owner:  </w:t>
      </w:r>
      <w:r>
        <w:rPr>
          <w:color w:val="2C2A22"/>
          <w:sz w:val="21"/>
          <w:szCs w:val="21"/>
        </w:rPr>
        <w:t xml:space="preserve">[Your name]</w:t>
      </w:r>
    </w:p>
    <w:p>
      <w:pPr>
        <w:spacing w:after="60"/>
      </w:pPr>
      <w:r>
        <w:rPr>
          <w:b/>
          <w:bCs/>
          <w:color w:val="211F2E"/>
          <w:sz w:val="21"/>
          <w:szCs w:val="21"/>
        </w:rPr>
        <w:t xml:space="preserve">Companion document:  </w:t>
      </w:r>
      <w:r>
        <w:rPr>
          <w:color w:val="2C2A22"/>
          <w:sz w:val="21"/>
          <w:szCs w:val="21"/>
        </w:rPr>
        <w:t xml:space="preserve">SwiftSum PRD (product requirements)</w:t>
      </w:r>
    </w:p>
    <w:p>
      <w:pPr>
        <w:spacing w:after="60"/>
      </w:pPr>
      <w:r>
        <w:rPr>
          <w:b/>
          <w:bCs/>
          <w:color w:val="211F2E"/>
          <w:sz w:val="21"/>
          <w:szCs w:val="21"/>
        </w:rPr>
        <w:t xml:space="preserve">Date:  </w:t>
      </w:r>
      <w:r>
        <w:rPr>
          <w:color w:val="2C2A22"/>
          <w:sz w:val="21"/>
          <w:szCs w:val="21"/>
        </w:rPr>
        <w:t xml:space="preserve">16 September 2026</w:t>
      </w:r>
    </w:p>
    <w:p>
      <w:pPr>
        <w:spacing w:after="60"/>
      </w:pPr>
      <w:r>
        <w:rPr>
          <w:b/>
          <w:bCs/>
          <w:color w:val="211F2E"/>
          <w:sz w:val="21"/>
          <w:szCs w:val="21"/>
        </w:rPr>
        <w:t xml:space="preserve">Status:  </w:t>
      </w:r>
      <w:r>
        <w:rPr>
          <w:color w:val="2C2A22"/>
          <w:sz w:val="21"/>
          <w:szCs w:val="21"/>
        </w:rPr>
        <w:t xml:space="preserve">Draft</w:t>
      </w:r>
    </w:p>
    <w:p>
      <w:pPr>
        <w:pStyle w:val="Heading1"/>
        <w:pBdr>
          <w:bottom w:val="single" w:color="DDCCA0" w:sz="6" w:space="4"/>
        </w:pBdr>
        <w:spacing w:after="140" w:before="320"/>
      </w:pPr>
      <w:r>
        <w:rPr>
          <w:rFonts w:ascii="Georgia" w:cs="Georgia" w:eastAsia="Georgia" w:hAnsi="Georgia"/>
          <w:b/>
          <w:bCs/>
          <w:color w:val="211F2E"/>
          <w:sz w:val="30"/>
          <w:szCs w:val="30"/>
        </w:rPr>
        <w:t xml:space="preserve">1. Purpose &amp; Audience</w:t>
      </w:r>
    </w:p>
    <w:p>
      <w:pPr>
        <w:spacing w:after="140" w:line="300"/>
      </w:pPr>
      <w:r>
        <w:rPr>
          <w:color w:val="2C2A22"/>
          <w:sz w:val="21"/>
          <w:szCs w:val="21"/>
        </w:rPr>
        <w:t xml:space="preserve">The PRD describes what SwiftSum does and why. This document describes how it is built: the technology choices, the code's architecture, and the conventions to follow when extending it. It is written for whoever implements or maintains the codebase — including a future version of the original author.</w:t>
      </w:r>
    </w:p>
    <w:p>
      <w:pPr>
        <w:pStyle w:val="Heading1"/>
        <w:pBdr>
          <w:bottom w:val="single" w:color="DDCCA0" w:sz="6" w:space="4"/>
        </w:pBdr>
        <w:spacing w:after="140" w:before="320"/>
      </w:pPr>
      <w:r>
        <w:rPr>
          <w:rFonts w:ascii="Georgia" w:cs="Georgia" w:eastAsia="Georgia" w:hAnsi="Georgia"/>
          <w:b/>
          <w:bCs/>
          <w:color w:val="211F2E"/>
          <w:sz w:val="30"/>
          <w:szCs w:val="30"/>
        </w:rPr>
        <w:t xml:space="preserve">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50"/>
      </w:tblGrid>
      <w:tr>
        <w:tc>
          <w:tcPr>
            <w:tcW w:type="dxa" w:w="2200"/>
            <w:shd w:fill="211F2E" w:val="clear"/>
            <w:tcMar>
              <w:top w:type="dxa" w:w="90"/>
              <w:left w:type="dxa" w:w="120"/>
              <w:bottom w:type="dxa" w:w="90"/>
              <w:right w:type="dxa" w:w="120"/>
            </w:tcMar>
          </w:tcPr>
          <w:p>
            <w:r>
              <w:rPr>
                <w:b/>
                <w:bCs/>
                <w:color w:val="FFFFFF"/>
                <w:sz w:val="19"/>
                <w:szCs w:val="19"/>
              </w:rPr>
              <w:t xml:space="preserve">Layer</w:t>
            </w:r>
          </w:p>
        </w:tc>
        <w:tc>
          <w:tcPr>
            <w:tcW w:type="dxa" w:w="3700"/>
            <w:shd w:fill="211F2E" w:val="clear"/>
            <w:tcMar>
              <w:top w:type="dxa" w:w="90"/>
              <w:left w:type="dxa" w:w="120"/>
              <w:bottom w:type="dxa" w:w="90"/>
              <w:right w:type="dxa" w:w="120"/>
            </w:tcMar>
          </w:tcPr>
          <w:p>
            <w:r>
              <w:rPr>
                <w:b/>
                <w:bCs/>
                <w:color w:val="FFFFFF"/>
                <w:sz w:val="19"/>
                <w:szCs w:val="19"/>
              </w:rPr>
              <w:t xml:space="preserve">Choice</w:t>
            </w:r>
          </w:p>
        </w:tc>
        <w:tc>
          <w:tcPr>
            <w:tcW w:type="dxa" w:w="3450"/>
            <w:shd w:fill="211F2E" w:val="clear"/>
            <w:tcMar>
              <w:top w:type="dxa" w:w="90"/>
              <w:left w:type="dxa" w:w="120"/>
              <w:bottom w:type="dxa" w:w="90"/>
              <w:right w:type="dxa" w:w="120"/>
            </w:tcMar>
          </w:tcPr>
          <w:p>
            <w:r>
              <w:rPr>
                <w:b/>
                <w:bCs/>
                <w:color w:val="FFFFFF"/>
                <w:sz w:val="19"/>
                <w:szCs w:val="19"/>
              </w:rPr>
              <w:t xml:space="preserve">Why</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Framework</w:t>
            </w:r>
          </w:p>
        </w:tc>
        <w:tc>
          <w:tcPr>
            <w:tcW w:type="dxa" w:w="3700"/>
            <w:shd w:fill="FFFFFF" w:val="clear"/>
            <w:tcMar>
              <w:top w:type="dxa" w:w="90"/>
              <w:left w:type="dxa" w:w="120"/>
              <w:bottom w:type="dxa" w:w="90"/>
              <w:right w:type="dxa" w:w="120"/>
            </w:tcMar>
          </w:tcPr>
          <w:p>
            <w:r>
              <w:rPr>
                <w:b w:val="false"/>
                <w:bCs w:val="false"/>
                <w:color w:val="2C2A22"/>
                <w:sz w:val="19"/>
                <w:szCs w:val="19"/>
              </w:rPr>
              <w:t xml:space="preserve">Next.js 16 (App Router)</w:t>
            </w:r>
          </w:p>
        </w:tc>
        <w:tc>
          <w:tcPr>
            <w:tcW w:type="dxa" w:w="3450"/>
            <w:shd w:fill="FFFFFF" w:val="clear"/>
            <w:tcMar>
              <w:top w:type="dxa" w:w="90"/>
              <w:left w:type="dxa" w:w="120"/>
              <w:bottom w:type="dxa" w:w="90"/>
              <w:right w:type="dxa" w:w="120"/>
            </w:tcMar>
          </w:tcPr>
          <w:p>
            <w:r>
              <w:rPr>
                <w:b w:val="false"/>
                <w:bCs w:val="false"/>
                <w:color w:val="2C2A22"/>
                <w:sz w:val="19"/>
                <w:szCs w:val="19"/>
              </w:rPr>
              <w:t xml:space="preserve">File-based routing for two pages (/ and /calculator), built-in font optimisation, server rendering for fast first paint</w:t>
            </w:r>
          </w:p>
        </w:tc>
      </w:tr>
      <w:tr>
        <w:tc>
          <w:tcPr>
            <w:tcW w:type="dxa" w:w="2200"/>
            <w:shd w:fill="F7F0DC" w:val="clear"/>
            <w:tcMar>
              <w:top w:type="dxa" w:w="90"/>
              <w:left w:type="dxa" w:w="120"/>
              <w:bottom w:type="dxa" w:w="90"/>
              <w:right w:type="dxa" w:w="120"/>
            </w:tcMar>
          </w:tcPr>
          <w:p>
            <w:r>
              <w:rPr>
                <w:b w:val="false"/>
                <w:bCs w:val="false"/>
                <w:color w:val="2C2A22"/>
                <w:sz w:val="19"/>
                <w:szCs w:val="19"/>
              </w:rPr>
              <w:t xml:space="preserve">Language</w:t>
            </w:r>
          </w:p>
        </w:tc>
        <w:tc>
          <w:tcPr>
            <w:tcW w:type="dxa" w:w="3700"/>
            <w:shd w:fill="F7F0DC" w:val="clear"/>
            <w:tcMar>
              <w:top w:type="dxa" w:w="90"/>
              <w:left w:type="dxa" w:w="120"/>
              <w:bottom w:type="dxa" w:w="90"/>
              <w:right w:type="dxa" w:w="120"/>
            </w:tcMar>
          </w:tcPr>
          <w:p>
            <w:r>
              <w:rPr>
                <w:b w:val="false"/>
                <w:bCs w:val="false"/>
                <w:color w:val="2C2A22"/>
                <w:sz w:val="19"/>
                <w:szCs w:val="19"/>
              </w:rPr>
              <w:t xml:space="preserve">TypeScript (strict mode)</w:t>
            </w:r>
          </w:p>
        </w:tc>
        <w:tc>
          <w:tcPr>
            <w:tcW w:type="dxa" w:w="3450"/>
            <w:shd w:fill="F7F0DC" w:val="clear"/>
            <w:tcMar>
              <w:top w:type="dxa" w:w="90"/>
              <w:left w:type="dxa" w:w="120"/>
              <w:bottom w:type="dxa" w:w="90"/>
              <w:right w:type="dxa" w:w="120"/>
            </w:tcMar>
          </w:tcPr>
          <w:p>
            <w:r>
              <w:rPr>
                <w:b w:val="false"/>
                <w:bCs w:val="false"/>
                <w:color w:val="2C2A22"/>
                <w:sz w:val="19"/>
                <w:szCs w:val="19"/>
              </w:rPr>
              <w:t xml:space="preserve">Catches shape mistakes in the math engine and step data at compile time</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UI library</w:t>
            </w:r>
          </w:p>
        </w:tc>
        <w:tc>
          <w:tcPr>
            <w:tcW w:type="dxa" w:w="3700"/>
            <w:shd w:fill="FFFFFF" w:val="clear"/>
            <w:tcMar>
              <w:top w:type="dxa" w:w="90"/>
              <w:left w:type="dxa" w:w="120"/>
              <w:bottom w:type="dxa" w:w="90"/>
              <w:right w:type="dxa" w:w="120"/>
            </w:tcMar>
          </w:tcPr>
          <w:p>
            <w:r>
              <w:rPr>
                <w:b w:val="false"/>
                <w:bCs w:val="false"/>
                <w:color w:val="2C2A22"/>
                <w:sz w:val="19"/>
                <w:szCs w:val="19"/>
              </w:rPr>
              <w:t xml:space="preserve">React 19</w:t>
            </w:r>
          </w:p>
        </w:tc>
        <w:tc>
          <w:tcPr>
            <w:tcW w:type="dxa" w:w="3450"/>
            <w:shd w:fill="FFFFFF" w:val="clear"/>
            <w:tcMar>
              <w:top w:type="dxa" w:w="90"/>
              <w:left w:type="dxa" w:w="120"/>
              <w:bottom w:type="dxa" w:w="90"/>
              <w:right w:type="dxa" w:w="120"/>
            </w:tcMar>
          </w:tcPr>
          <w:p>
            <w:r>
              <w:rPr>
                <w:b w:val="false"/>
                <w:bCs w:val="false"/>
                <w:color w:val="2C2A22"/>
                <w:sz w:val="19"/>
                <w:szCs w:val="19"/>
              </w:rPr>
              <w:t xml:space="preserve">Required peer for Next.js 16; function components with hooks throughout</w:t>
            </w:r>
          </w:p>
        </w:tc>
      </w:tr>
      <w:tr>
        <w:tc>
          <w:tcPr>
            <w:tcW w:type="dxa" w:w="2200"/>
            <w:shd w:fill="F7F0DC" w:val="clear"/>
            <w:tcMar>
              <w:top w:type="dxa" w:w="90"/>
              <w:left w:type="dxa" w:w="120"/>
              <w:bottom w:type="dxa" w:w="90"/>
              <w:right w:type="dxa" w:w="120"/>
            </w:tcMar>
          </w:tcPr>
          <w:p>
            <w:r>
              <w:rPr>
                <w:b w:val="false"/>
                <w:bCs w:val="false"/>
                <w:color w:val="2C2A22"/>
                <w:sz w:val="19"/>
                <w:szCs w:val="19"/>
              </w:rPr>
              <w:t xml:space="preserve">Animation</w:t>
            </w:r>
          </w:p>
        </w:tc>
        <w:tc>
          <w:tcPr>
            <w:tcW w:type="dxa" w:w="3700"/>
            <w:shd w:fill="F7F0DC" w:val="clear"/>
            <w:tcMar>
              <w:top w:type="dxa" w:w="90"/>
              <w:left w:type="dxa" w:w="120"/>
              <w:bottom w:type="dxa" w:w="90"/>
              <w:right w:type="dxa" w:w="120"/>
            </w:tcMar>
          </w:tcPr>
          <w:p>
            <w:r>
              <w:rPr>
                <w:b w:val="false"/>
                <w:bCs w:val="false"/>
                <w:color w:val="2C2A22"/>
                <w:sz w:val="19"/>
                <w:szCs w:val="19"/>
              </w:rPr>
              <w:t xml:space="preserve">Framer Motion</w:t>
            </w:r>
          </w:p>
        </w:tc>
        <w:tc>
          <w:tcPr>
            <w:tcW w:type="dxa" w:w="3450"/>
            <w:shd w:fill="F7F0DC" w:val="clear"/>
            <w:tcMar>
              <w:top w:type="dxa" w:w="90"/>
              <w:left w:type="dxa" w:w="120"/>
              <w:bottom w:type="dxa" w:w="90"/>
              <w:right w:type="dxa" w:w="120"/>
            </w:tcMar>
          </w:tcPr>
          <w:p>
            <w:r>
              <w:rPr>
                <w:b w:val="false"/>
                <w:bCs w:val="false"/>
                <w:color w:val="2C2A22"/>
                <w:sz w:val="19"/>
                <w:szCs w:val="19"/>
              </w:rPr>
              <w:t xml:space="preserve">Declarative step transitions, SVG line-drawing, and layout animation without hand-written CSS keyframes</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Icons</w:t>
            </w:r>
          </w:p>
        </w:tc>
        <w:tc>
          <w:tcPr>
            <w:tcW w:type="dxa" w:w="3700"/>
            <w:shd w:fill="FFFFFF" w:val="clear"/>
            <w:tcMar>
              <w:top w:type="dxa" w:w="90"/>
              <w:left w:type="dxa" w:w="120"/>
              <w:bottom w:type="dxa" w:w="90"/>
              <w:right w:type="dxa" w:w="120"/>
            </w:tcMar>
          </w:tcPr>
          <w:p>
            <w:r>
              <w:rPr>
                <w:b w:val="false"/>
                <w:bCs w:val="false"/>
                <w:color w:val="2C2A22"/>
                <w:sz w:val="19"/>
                <w:szCs w:val="19"/>
              </w:rPr>
              <w:t xml:space="preserve">lucide-react</w:t>
            </w:r>
          </w:p>
        </w:tc>
        <w:tc>
          <w:tcPr>
            <w:tcW w:type="dxa" w:w="3450"/>
            <w:shd w:fill="FFFFFF" w:val="clear"/>
            <w:tcMar>
              <w:top w:type="dxa" w:w="90"/>
              <w:left w:type="dxa" w:w="120"/>
              <w:bottom w:type="dxa" w:w="90"/>
              <w:right w:type="dxa" w:w="120"/>
            </w:tcMar>
          </w:tcPr>
          <w:p>
            <w:r>
              <w:rPr>
                <w:b w:val="false"/>
                <w:bCs w:val="false"/>
                <w:color w:val="2C2A22"/>
                <w:sz w:val="19"/>
                <w:szCs w:val="19"/>
              </w:rPr>
              <w:t xml:space="preserve">Small, tree-shakeable icon set already used in the original prototype</w:t>
            </w:r>
          </w:p>
        </w:tc>
      </w:tr>
      <w:tr>
        <w:tc>
          <w:tcPr>
            <w:tcW w:type="dxa" w:w="2200"/>
            <w:shd w:fill="F7F0DC" w:val="clear"/>
            <w:tcMar>
              <w:top w:type="dxa" w:w="90"/>
              <w:left w:type="dxa" w:w="120"/>
              <w:bottom w:type="dxa" w:w="90"/>
              <w:right w:type="dxa" w:w="120"/>
            </w:tcMar>
          </w:tcPr>
          <w:p>
            <w:r>
              <w:rPr>
                <w:b w:val="false"/>
                <w:bCs w:val="false"/>
                <w:color w:val="2C2A22"/>
                <w:sz w:val="19"/>
                <w:szCs w:val="19"/>
              </w:rPr>
              <w:t xml:space="preserve">Styling</w:t>
            </w:r>
          </w:p>
        </w:tc>
        <w:tc>
          <w:tcPr>
            <w:tcW w:type="dxa" w:w="3700"/>
            <w:shd w:fill="F7F0DC" w:val="clear"/>
            <w:tcMar>
              <w:top w:type="dxa" w:w="90"/>
              <w:left w:type="dxa" w:w="120"/>
              <w:bottom w:type="dxa" w:w="90"/>
              <w:right w:type="dxa" w:w="120"/>
            </w:tcMar>
          </w:tcPr>
          <w:p>
            <w:r>
              <w:rPr>
                <w:b w:val="false"/>
                <w:bCs w:val="false"/>
                <w:color w:val="2C2A22"/>
                <w:sz w:val="19"/>
                <w:szCs w:val="19"/>
              </w:rPr>
              <w:t xml:space="preserve">CSS Modules</w:t>
            </w:r>
          </w:p>
        </w:tc>
        <w:tc>
          <w:tcPr>
            <w:tcW w:type="dxa" w:w="3450"/>
            <w:shd w:fill="F7F0DC" w:val="clear"/>
            <w:tcMar>
              <w:top w:type="dxa" w:w="90"/>
              <w:left w:type="dxa" w:w="120"/>
              <w:bottom w:type="dxa" w:w="90"/>
              <w:right w:type="dxa" w:w="120"/>
            </w:tcMar>
          </w:tcPr>
          <w:p>
            <w:r>
              <w:rPr>
                <w:b w:val="false"/>
                <w:bCs w:val="false"/>
                <w:color w:val="2C2A22"/>
                <w:sz w:val="19"/>
                <w:szCs w:val="19"/>
              </w:rPr>
              <w:t xml:space="preserve">Component-scoped styles with plain CSS, no build-time config beyond what Next.js ships with</w:t>
            </w:r>
          </w:p>
        </w:tc>
      </w:tr>
      <w:tr>
        <w:tc>
          <w:tcPr>
            <w:tcW w:type="dxa" w:w="2200"/>
            <w:shd w:fill="FFFFFF" w:val="clear"/>
            <w:tcMar>
              <w:top w:type="dxa" w:w="90"/>
              <w:left w:type="dxa" w:w="120"/>
              <w:bottom w:type="dxa" w:w="90"/>
              <w:right w:type="dxa" w:w="120"/>
            </w:tcMar>
          </w:tcPr>
          <w:p>
            <w:r>
              <w:rPr>
                <w:b w:val="false"/>
                <w:bCs w:val="false"/>
                <w:color w:val="2C2A22"/>
                <w:sz w:val="19"/>
                <w:szCs w:val="19"/>
              </w:rPr>
              <w:t xml:space="preserve">Fonts</w:t>
            </w:r>
          </w:p>
        </w:tc>
        <w:tc>
          <w:tcPr>
            <w:tcW w:type="dxa" w:w="3700"/>
            <w:shd w:fill="FFFFFF" w:val="clear"/>
            <w:tcMar>
              <w:top w:type="dxa" w:w="90"/>
              <w:left w:type="dxa" w:w="120"/>
              <w:bottom w:type="dxa" w:w="90"/>
              <w:right w:type="dxa" w:w="120"/>
            </w:tcMar>
          </w:tcPr>
          <w:p>
            <w:r>
              <w:rPr>
                <w:b w:val="false"/>
                <w:bCs w:val="false"/>
                <w:color w:val="2C2A22"/>
                <w:sz w:val="19"/>
                <w:szCs w:val="19"/>
              </w:rPr>
              <w:t xml:space="preserve">next/font/google (Fraunces, IBM Plex Sans, IBM Plex Mono)</w:t>
            </w:r>
          </w:p>
        </w:tc>
        <w:tc>
          <w:tcPr>
            <w:tcW w:type="dxa" w:w="3450"/>
            <w:shd w:fill="FFFFFF" w:val="clear"/>
            <w:tcMar>
              <w:top w:type="dxa" w:w="90"/>
              <w:left w:type="dxa" w:w="120"/>
              <w:bottom w:type="dxa" w:w="90"/>
              <w:right w:type="dxa" w:w="120"/>
            </w:tcMar>
          </w:tcPr>
          <w:p>
            <w:r>
              <w:rPr>
                <w:b w:val="false"/>
                <w:bCs w:val="false"/>
                <w:color w:val="2C2A22"/>
                <w:sz w:val="19"/>
                <w:szCs w:val="19"/>
              </w:rPr>
              <w:t xml:space="preserve">Self-hosted at build time, no runtime request to Google Fonts, no layout shift</w:t>
            </w:r>
          </w:p>
        </w:tc>
      </w:tr>
    </w:tbl>
    <w:p>
      <w:pPr>
        <w:pStyle w:val="Heading1"/>
        <w:pBdr>
          <w:bottom w:val="single" w:color="DDCCA0" w:sz="6" w:space="4"/>
        </w:pBdr>
        <w:spacing w:after="140" w:before="320"/>
      </w:pPr>
      <w:r>
        <w:rPr>
          <w:rFonts w:ascii="Georgia" w:cs="Georgia" w:eastAsia="Georgia" w:hAnsi="Georgia"/>
          <w:b/>
          <w:bCs/>
          <w:color w:val="211F2E"/>
          <w:sz w:val="30"/>
          <w:szCs w:val="30"/>
        </w:rPr>
        <w:t xml:space="preserve">3. Architecture Overview</w:t>
      </w:r>
    </w:p>
    <w:p>
      <w:pPr>
        <w:spacing w:after="140" w:line="300"/>
      </w:pPr>
      <w:r>
        <w:rPr>
          <w:color w:val="2C2A22"/>
          <w:sz w:val="21"/>
          <w:szCs w:val="21"/>
        </w:rPr>
        <w:t xml:space="preserve">The codebase is split into two layers that don't know about each other's internals. The domain layer (lib/) contains plain TypeScript functions with no React and no DOM dependencies: one function per sutra, plus a registry that lists the available operations. The presentation layer (app/ and components/) is only responsible for collecting input, calling the registry, and rendering whatever structure comes back. This separation is what lets the math be unit-tested on its own and lets new operations be added without touching any UI code.</w:t>
      </w:r>
    </w:p>
    <w:p>
      <w:pPr>
        <w:pBdr>
          <w:top w:val="single" w:color="2C2A22" w:sz="4" w:space="4"/>
          <w:bottom w:val="single" w:color="2C2A22" w:sz="4" w:space="4"/>
          <w:left w:val="single" w:color="2C2A22" w:sz="4" w:space="4"/>
          <w:right w:val="single" w:color="2C2A22" w:sz="4" w:space="4"/>
        </w:pBdr>
        <w:shd w:fill="2C2A22" w:val="clear"/>
        <w:spacing w:after="200" w:before="100" w:line="260"/>
      </w:pPr>
      <w:r>
        <w:rPr>
          <w:rFonts w:ascii="IBM Plex Mono" w:cs="IBM Plex Mono" w:eastAsia="IBM Plex Mono" w:hAnsi="IBM Plex Mono"/>
          <w:color w:val="ECE0C2"/>
          <w:sz w:val="18"/>
          <w:szCs w:val="18"/>
        </w:rPr>
        <w:t xml:space="preserve">User input (a, b)</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lib/operations.ts   — looks up the chosen OperationDef</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lib/vedicMath.ts    — pure xSteps(a, b) function, returns OperationResult</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components/calculator/StepPlayer.tsx — renders steps + animates transitions</w:t>
      </w:r>
    </w:p>
    <w:p>
      <w:pPr>
        <w:pStyle w:val="Heading1"/>
        <w:pBdr>
          <w:bottom w:val="single" w:color="DDCCA0" w:sz="6" w:space="4"/>
        </w:pBdr>
        <w:spacing w:after="140" w:before="320"/>
      </w:pPr>
      <w:r>
        <w:rPr>
          <w:rFonts w:ascii="Georgia" w:cs="Georgia" w:eastAsia="Georgia" w:hAnsi="Georgia"/>
          <w:b/>
          <w:bCs/>
          <w:color w:val="211F2E"/>
          <w:sz w:val="30"/>
          <w:szCs w:val="30"/>
        </w:rPr>
        <w:t xml:space="preserve">4. Routing / Page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50"/>
      </w:tblGrid>
      <w:tr>
        <w:tc>
          <w:tcPr>
            <w:tcW w:type="dxa" w:w="1800"/>
            <w:shd w:fill="211F2E" w:val="clear"/>
            <w:tcMar>
              <w:top w:type="dxa" w:w="90"/>
              <w:left w:type="dxa" w:w="120"/>
              <w:bottom w:type="dxa" w:w="90"/>
              <w:right w:type="dxa" w:w="120"/>
            </w:tcMar>
          </w:tcPr>
          <w:p>
            <w:r>
              <w:rPr>
                <w:b/>
                <w:bCs/>
                <w:color w:val="FFFFFF"/>
                <w:sz w:val="19"/>
                <w:szCs w:val="19"/>
              </w:rPr>
              <w:t xml:space="preserve">Route</w:t>
            </w:r>
          </w:p>
        </w:tc>
        <w:tc>
          <w:tcPr>
            <w:tcW w:type="dxa" w:w="3000"/>
            <w:shd w:fill="211F2E" w:val="clear"/>
            <w:tcMar>
              <w:top w:type="dxa" w:w="90"/>
              <w:left w:type="dxa" w:w="120"/>
              <w:bottom w:type="dxa" w:w="90"/>
              <w:right w:type="dxa" w:w="120"/>
            </w:tcMar>
          </w:tcPr>
          <w:p>
            <w:r>
              <w:rPr>
                <w:b/>
                <w:bCs/>
                <w:color w:val="FFFFFF"/>
                <w:sz w:val="19"/>
                <w:szCs w:val="19"/>
              </w:rPr>
              <w:t xml:space="preserve">File</w:t>
            </w:r>
          </w:p>
        </w:tc>
        <w:tc>
          <w:tcPr>
            <w:tcW w:type="dxa" w:w="4550"/>
            <w:shd w:fill="211F2E" w:val="clear"/>
            <w:tcMar>
              <w:top w:type="dxa" w:w="90"/>
              <w:left w:type="dxa" w:w="120"/>
              <w:bottom w:type="dxa" w:w="90"/>
              <w:right w:type="dxa" w:w="120"/>
            </w:tcMar>
          </w:tcPr>
          <w:p>
            <w:r>
              <w:rPr>
                <w:b/>
                <w:bCs/>
                <w:color w:val="FFFFFF"/>
                <w:sz w:val="19"/>
                <w:szCs w:val="19"/>
              </w:rPr>
              <w:t xml:space="preserve">Renders</w:t>
            </w:r>
          </w:p>
        </w:tc>
      </w:tr>
      <w:tr>
        <w:tc>
          <w:tcPr>
            <w:tcW w:type="dxa" w:w="1800"/>
            <w:shd w:fill="FFFFFF" w:val="clear"/>
            <w:tcMar>
              <w:top w:type="dxa" w:w="90"/>
              <w:left w:type="dxa" w:w="120"/>
              <w:bottom w:type="dxa" w:w="90"/>
              <w:right w:type="dxa" w:w="120"/>
            </w:tcMar>
          </w:tcPr>
          <w:p>
            <w:r>
              <w:rPr>
                <w:b w:val="false"/>
                <w:bCs w:val="false"/>
                <w:color w:val="2C2A22"/>
                <w:sz w:val="19"/>
                <w:szCs w:val="19"/>
              </w:rPr>
              <w:t xml:space="preserve">/</w:t>
            </w:r>
          </w:p>
        </w:tc>
        <w:tc>
          <w:tcPr>
            <w:tcW w:type="dxa" w:w="3000"/>
            <w:shd w:fill="FFFFFF" w:val="clear"/>
            <w:tcMar>
              <w:top w:type="dxa" w:w="90"/>
              <w:left w:type="dxa" w:w="120"/>
              <w:bottom w:type="dxa" w:w="90"/>
              <w:right w:type="dxa" w:w="120"/>
            </w:tcMar>
          </w:tcPr>
          <w:p>
            <w:r>
              <w:rPr>
                <w:b w:val="false"/>
                <w:bCs w:val="false"/>
                <w:color w:val="2C2A22"/>
                <w:sz w:val="19"/>
                <w:szCs w:val="19"/>
              </w:rPr>
              <w:t xml:space="preserve">app/page.tsx</w:t>
            </w:r>
          </w:p>
        </w:tc>
        <w:tc>
          <w:tcPr>
            <w:tcW w:type="dxa" w:w="4550"/>
            <w:shd w:fill="FFFFFF" w:val="clear"/>
            <w:tcMar>
              <w:top w:type="dxa" w:w="90"/>
              <w:left w:type="dxa" w:w="120"/>
              <w:bottom w:type="dxa" w:w="90"/>
              <w:right w:type="dxa" w:w="120"/>
            </w:tcMar>
          </w:tcPr>
          <w:p>
            <w:r>
              <w:rPr>
                <w:b w:val="false"/>
                <w:bCs w:val="false"/>
                <w:color w:val="2C2A22"/>
                <w:sz w:val="19"/>
                <w:szCs w:val="19"/>
              </w:rPr>
              <w:t xml:space="preserve">Landing page: nav, hero + fact card, IKS explainer, timeline, closing CTA</w:t>
            </w:r>
          </w:p>
        </w:tc>
      </w:tr>
      <w:tr>
        <w:tc>
          <w:tcPr>
            <w:tcW w:type="dxa" w:w="1800"/>
            <w:shd w:fill="F7F0DC" w:val="clear"/>
            <w:tcMar>
              <w:top w:type="dxa" w:w="90"/>
              <w:left w:type="dxa" w:w="120"/>
              <w:bottom w:type="dxa" w:w="90"/>
              <w:right w:type="dxa" w:w="120"/>
            </w:tcMar>
          </w:tcPr>
          <w:p>
            <w:r>
              <w:rPr>
                <w:b w:val="false"/>
                <w:bCs w:val="false"/>
                <w:color w:val="2C2A22"/>
                <w:sz w:val="19"/>
                <w:szCs w:val="19"/>
              </w:rPr>
              <w:t xml:space="preserve">/calculator</w:t>
            </w:r>
          </w:p>
        </w:tc>
        <w:tc>
          <w:tcPr>
            <w:tcW w:type="dxa" w:w="3000"/>
            <w:shd w:fill="F7F0DC" w:val="clear"/>
            <w:tcMar>
              <w:top w:type="dxa" w:w="90"/>
              <w:left w:type="dxa" w:w="120"/>
              <w:bottom w:type="dxa" w:w="90"/>
              <w:right w:type="dxa" w:w="120"/>
            </w:tcMar>
          </w:tcPr>
          <w:p>
            <w:r>
              <w:rPr>
                <w:b w:val="false"/>
                <w:bCs w:val="false"/>
                <w:color w:val="2C2A22"/>
                <w:sz w:val="19"/>
                <w:szCs w:val="19"/>
              </w:rPr>
              <w:t xml:space="preserve">app/calculator/page.tsx</w:t>
            </w:r>
          </w:p>
        </w:tc>
        <w:tc>
          <w:tcPr>
            <w:tcW w:type="dxa" w:w="4550"/>
            <w:shd w:fill="F7F0DC" w:val="clear"/>
            <w:tcMar>
              <w:top w:type="dxa" w:w="90"/>
              <w:left w:type="dxa" w:w="120"/>
              <w:bottom w:type="dxa" w:w="90"/>
              <w:right w:type="dxa" w:w="120"/>
            </w:tcMar>
          </w:tcPr>
          <w:p>
            <w:r>
              <w:rPr>
                <w:b w:val="false"/>
                <w:bCs w:val="false"/>
                <w:color w:val="2C2A22"/>
                <w:sz w:val="19"/>
                <w:szCs w:val="19"/>
              </w:rPr>
              <w:t xml:space="preserve">The step-by-step calculator (client component)</w:t>
            </w:r>
          </w:p>
        </w:tc>
      </w:tr>
    </w:tbl>
    <w:p>
      <w:pPr>
        <w:pStyle w:val="Heading1"/>
        <w:pBdr>
          <w:bottom w:val="single" w:color="DDCCA0" w:sz="6" w:space="4"/>
        </w:pBdr>
        <w:spacing w:after="140" w:before="320"/>
      </w:pPr>
      <w:r>
        <w:rPr>
          <w:rFonts w:ascii="Georgia" w:cs="Georgia" w:eastAsia="Georgia" w:hAnsi="Georgia"/>
          <w:b/>
          <w:bCs/>
          <w:color w:val="211F2E"/>
          <w:sz w:val="30"/>
          <w:szCs w:val="30"/>
        </w:rPr>
        <w:t xml:space="preserve">5. Component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211F2E" w:val="clear"/>
            <w:tcMar>
              <w:top w:type="dxa" w:w="90"/>
              <w:left w:type="dxa" w:w="120"/>
              <w:bottom w:type="dxa" w:w="90"/>
              <w:right w:type="dxa" w:w="120"/>
            </w:tcMar>
          </w:tcPr>
          <w:p>
            <w:r>
              <w:rPr>
                <w:b/>
                <w:bCs/>
                <w:color w:val="FFFFFF"/>
                <w:sz w:val="19"/>
                <w:szCs w:val="19"/>
              </w:rPr>
              <w:t xml:space="preserve">Component</w:t>
            </w:r>
          </w:p>
        </w:tc>
        <w:tc>
          <w:tcPr>
            <w:tcW w:type="dxa" w:w="1400"/>
            <w:shd w:fill="211F2E" w:val="clear"/>
            <w:tcMar>
              <w:top w:type="dxa" w:w="90"/>
              <w:left w:type="dxa" w:w="120"/>
              <w:bottom w:type="dxa" w:w="90"/>
              <w:right w:type="dxa" w:w="120"/>
            </w:tcMar>
          </w:tcPr>
          <w:p>
            <w:r>
              <w:rPr>
                <w:b/>
                <w:bCs/>
                <w:color w:val="FFFFFF"/>
                <w:sz w:val="19"/>
                <w:szCs w:val="19"/>
              </w:rPr>
              <w:t xml:space="preserve">Type</w:t>
            </w:r>
          </w:p>
        </w:tc>
        <w:tc>
          <w:tcPr>
            <w:tcW w:type="dxa" w:w="5950"/>
            <w:shd w:fill="211F2E" w:val="clear"/>
            <w:tcMar>
              <w:top w:type="dxa" w:w="90"/>
              <w:left w:type="dxa" w:w="120"/>
              <w:bottom w:type="dxa" w:w="90"/>
              <w:right w:type="dxa" w:w="120"/>
            </w:tcMar>
          </w:tcPr>
          <w:p>
            <w:r>
              <w:rPr>
                <w:b/>
                <w:bCs/>
                <w:color w:val="FFFFFF"/>
                <w:sz w:val="19"/>
                <w:szCs w:val="19"/>
              </w:rPr>
              <w:t xml:space="preserve">Responsibility</w:t>
            </w:r>
          </w:p>
        </w:tc>
      </w:tr>
      <w:tr>
        <w:tc>
          <w:tcPr>
            <w:tcW w:type="dxa" w:w="2000"/>
            <w:shd w:fill="FFFFFF" w:val="clear"/>
            <w:tcMar>
              <w:top w:type="dxa" w:w="90"/>
              <w:left w:type="dxa" w:w="120"/>
              <w:bottom w:type="dxa" w:w="90"/>
              <w:right w:type="dxa" w:w="120"/>
            </w:tcMar>
          </w:tcPr>
          <w:p>
            <w:r>
              <w:rPr>
                <w:b w:val="false"/>
                <w:bCs w:val="false"/>
                <w:color w:val="2C2A22"/>
                <w:sz w:val="19"/>
                <w:szCs w:val="19"/>
              </w:rPr>
              <w:t xml:space="preserve">Nav</w:t>
            </w:r>
          </w:p>
        </w:tc>
        <w:tc>
          <w:tcPr>
            <w:tcW w:type="dxa" w:w="1400"/>
            <w:shd w:fill="FFFFFF" w:val="clear"/>
            <w:tcMar>
              <w:top w:type="dxa" w:w="90"/>
              <w:left w:type="dxa" w:w="120"/>
              <w:bottom w:type="dxa" w:w="90"/>
              <w:right w:type="dxa" w:w="120"/>
            </w:tcMar>
          </w:tcPr>
          <w:p>
            <w:r>
              <w:rPr>
                <w:b w:val="false"/>
                <w:bCs w:val="false"/>
                <w:color w:val="2C2A22"/>
                <w:sz w:val="19"/>
                <w:szCs w:val="19"/>
              </w:rPr>
              <w:t xml:space="preserve">Server</w:t>
            </w:r>
          </w:p>
        </w:tc>
        <w:tc>
          <w:tcPr>
            <w:tcW w:type="dxa" w:w="5950"/>
            <w:shd w:fill="FFFFFF" w:val="clear"/>
            <w:tcMar>
              <w:top w:type="dxa" w:w="90"/>
              <w:left w:type="dxa" w:w="120"/>
              <w:bottom w:type="dxa" w:w="90"/>
              <w:right w:type="dxa" w:w="120"/>
            </w:tcMar>
          </w:tcPr>
          <w:p>
            <w:r>
              <w:rPr>
                <w:b w:val="false"/>
                <w:bCs w:val="false"/>
                <w:color w:val="2C2A22"/>
                <w:sz w:val="19"/>
                <w:szCs w:val="19"/>
              </w:rPr>
              <w:t xml:space="preserve">Wordmark and a link to /calculator</w:t>
            </w:r>
          </w:p>
        </w:tc>
      </w:tr>
      <w:tr>
        <w:tc>
          <w:tcPr>
            <w:tcW w:type="dxa" w:w="2000"/>
            <w:shd w:fill="F7F0DC" w:val="clear"/>
            <w:tcMar>
              <w:top w:type="dxa" w:w="90"/>
              <w:left w:type="dxa" w:w="120"/>
              <w:bottom w:type="dxa" w:w="90"/>
              <w:right w:type="dxa" w:w="120"/>
            </w:tcMar>
          </w:tcPr>
          <w:p>
            <w:r>
              <w:rPr>
                <w:b w:val="false"/>
                <w:bCs w:val="false"/>
                <w:color w:val="2C2A22"/>
                <w:sz w:val="19"/>
                <w:szCs w:val="19"/>
              </w:rPr>
              <w:t xml:space="preserve">Hero</w:t>
            </w:r>
          </w:p>
        </w:tc>
        <w:tc>
          <w:tcPr>
            <w:tcW w:type="dxa" w:w="1400"/>
            <w:shd w:fill="F7F0DC" w:val="clear"/>
            <w:tcMar>
              <w:top w:type="dxa" w:w="90"/>
              <w:left w:type="dxa" w:w="120"/>
              <w:bottom w:type="dxa" w:w="90"/>
              <w:right w:type="dxa" w:w="120"/>
            </w:tcMar>
          </w:tcPr>
          <w:p>
            <w:r>
              <w:rPr>
                <w:b w:val="false"/>
                <w:bCs w:val="false"/>
                <w:color w:val="2C2A22"/>
                <w:sz w:val="19"/>
                <w:szCs w:val="19"/>
              </w:rPr>
              <w:t xml:space="preserve">Server</w:t>
            </w:r>
          </w:p>
        </w:tc>
        <w:tc>
          <w:tcPr>
            <w:tcW w:type="dxa" w:w="5950"/>
            <w:shd w:fill="F7F0DC" w:val="clear"/>
            <w:tcMar>
              <w:top w:type="dxa" w:w="90"/>
              <w:left w:type="dxa" w:w="120"/>
              <w:bottom w:type="dxa" w:w="90"/>
              <w:right w:type="dxa" w:w="120"/>
            </w:tcMar>
          </w:tcPr>
          <w:p>
            <w:r>
              <w:rPr>
                <w:b w:val="false"/>
                <w:bCs w:val="false"/>
                <w:color w:val="2C2A22"/>
                <w:sz w:val="19"/>
                <w:szCs w:val="19"/>
              </w:rPr>
              <w:t xml:space="preserve">Headline, subhead, primary CTA; embeds FactCard</w:t>
            </w:r>
          </w:p>
        </w:tc>
      </w:tr>
      <w:tr>
        <w:tc>
          <w:tcPr>
            <w:tcW w:type="dxa" w:w="2000"/>
            <w:shd w:fill="FFFFFF" w:val="clear"/>
            <w:tcMar>
              <w:top w:type="dxa" w:w="90"/>
              <w:left w:type="dxa" w:w="120"/>
              <w:bottom w:type="dxa" w:w="90"/>
              <w:right w:type="dxa" w:w="120"/>
            </w:tcMar>
          </w:tcPr>
          <w:p>
            <w:r>
              <w:rPr>
                <w:b w:val="false"/>
                <w:bCs w:val="false"/>
                <w:color w:val="2C2A22"/>
                <w:sz w:val="19"/>
                <w:szCs w:val="19"/>
              </w:rPr>
              <w:t xml:space="preserve">FactCard</w:t>
            </w:r>
          </w:p>
        </w:tc>
        <w:tc>
          <w:tcPr>
            <w:tcW w:type="dxa" w:w="1400"/>
            <w:shd w:fill="FFFFFF" w:val="clear"/>
            <w:tcMar>
              <w:top w:type="dxa" w:w="90"/>
              <w:left w:type="dxa" w:w="120"/>
              <w:bottom w:type="dxa" w:w="90"/>
              <w:right w:type="dxa" w:w="120"/>
            </w:tcMar>
          </w:tcPr>
          <w:p>
            <w:r>
              <w:rPr>
                <w:b w:val="false"/>
                <w:bCs w:val="false"/>
                <w:color w:val="2C2A22"/>
                <w:sz w:val="19"/>
                <w:szCs w:val="19"/>
              </w:rPr>
              <w:t xml:space="preserve">Client</w:t>
            </w:r>
          </w:p>
        </w:tc>
        <w:tc>
          <w:tcPr>
            <w:tcW w:type="dxa" w:w="5950"/>
            <w:shd w:fill="FFFFFF" w:val="clear"/>
            <w:tcMar>
              <w:top w:type="dxa" w:w="90"/>
              <w:left w:type="dxa" w:w="120"/>
              <w:bottom w:type="dxa" w:w="90"/>
              <w:right w:type="dxa" w:w="120"/>
            </w:tcMar>
          </w:tcPr>
          <w:p>
            <w:r>
              <w:rPr>
                <w:b w:val="false"/>
                <w:bCs w:val="false"/>
                <w:color w:val="2C2A22"/>
                <w:sz w:val="19"/>
                <w:szCs w:val="19"/>
              </w:rPr>
              <w:t xml:space="preserve">Picks a random fact on mount, crossfades to a new one on click, never repeats consecutively</w:t>
            </w:r>
          </w:p>
        </w:tc>
      </w:tr>
      <w:tr>
        <w:tc>
          <w:tcPr>
            <w:tcW w:type="dxa" w:w="2000"/>
            <w:shd w:fill="F7F0DC" w:val="clear"/>
            <w:tcMar>
              <w:top w:type="dxa" w:w="90"/>
              <w:left w:type="dxa" w:w="120"/>
              <w:bottom w:type="dxa" w:w="90"/>
              <w:right w:type="dxa" w:w="120"/>
            </w:tcMar>
          </w:tcPr>
          <w:p>
            <w:r>
              <w:rPr>
                <w:b w:val="false"/>
                <w:bCs w:val="false"/>
                <w:color w:val="2C2A22"/>
                <w:sz w:val="19"/>
                <w:szCs w:val="19"/>
              </w:rPr>
              <w:t xml:space="preserve">IKSSection</w:t>
            </w:r>
          </w:p>
        </w:tc>
        <w:tc>
          <w:tcPr>
            <w:tcW w:type="dxa" w:w="1400"/>
            <w:shd w:fill="F7F0DC" w:val="clear"/>
            <w:tcMar>
              <w:top w:type="dxa" w:w="90"/>
              <w:left w:type="dxa" w:w="120"/>
              <w:bottom w:type="dxa" w:w="90"/>
              <w:right w:type="dxa" w:w="120"/>
            </w:tcMar>
          </w:tcPr>
          <w:p>
            <w:r>
              <w:rPr>
                <w:b w:val="false"/>
                <w:bCs w:val="false"/>
                <w:color w:val="2C2A22"/>
                <w:sz w:val="19"/>
                <w:szCs w:val="19"/>
              </w:rPr>
              <w:t xml:space="preserve">Server</w:t>
            </w:r>
          </w:p>
        </w:tc>
        <w:tc>
          <w:tcPr>
            <w:tcW w:type="dxa" w:w="5950"/>
            <w:shd w:fill="F7F0DC" w:val="clear"/>
            <w:tcMar>
              <w:top w:type="dxa" w:w="90"/>
              <w:left w:type="dxa" w:w="120"/>
              <w:bottom w:type="dxa" w:w="90"/>
              <w:right w:type="dxa" w:w="120"/>
            </w:tcMar>
          </w:tcPr>
          <w:p>
            <w:r>
              <w:rPr>
                <w:b w:val="false"/>
                <w:bCs w:val="false"/>
                <w:color w:val="2C2A22"/>
                <w:sz w:val="19"/>
                <w:szCs w:val="19"/>
              </w:rPr>
              <w:t xml:space="preserve">Two short paragraphs on IKS plus a pull-quote</w:t>
            </w:r>
          </w:p>
        </w:tc>
      </w:tr>
      <w:tr>
        <w:tc>
          <w:tcPr>
            <w:tcW w:type="dxa" w:w="2000"/>
            <w:shd w:fill="FFFFFF" w:val="clear"/>
            <w:tcMar>
              <w:top w:type="dxa" w:w="90"/>
              <w:left w:type="dxa" w:w="120"/>
              <w:bottom w:type="dxa" w:w="90"/>
              <w:right w:type="dxa" w:w="120"/>
            </w:tcMar>
          </w:tcPr>
          <w:p>
            <w:r>
              <w:rPr>
                <w:b w:val="false"/>
                <w:bCs w:val="false"/>
                <w:color w:val="2C2A22"/>
                <w:sz w:val="19"/>
                <w:szCs w:val="19"/>
              </w:rPr>
              <w:t xml:space="preserve">Timeline</w:t>
            </w:r>
          </w:p>
        </w:tc>
        <w:tc>
          <w:tcPr>
            <w:tcW w:type="dxa" w:w="1400"/>
            <w:shd w:fill="FFFFFF" w:val="clear"/>
            <w:tcMar>
              <w:top w:type="dxa" w:w="90"/>
              <w:left w:type="dxa" w:w="120"/>
              <w:bottom w:type="dxa" w:w="90"/>
              <w:right w:type="dxa" w:w="120"/>
            </w:tcMar>
          </w:tcPr>
          <w:p>
            <w:r>
              <w:rPr>
                <w:b w:val="false"/>
                <w:bCs w:val="false"/>
                <w:color w:val="2C2A22"/>
                <w:sz w:val="19"/>
                <w:szCs w:val="19"/>
              </w:rPr>
              <w:t xml:space="preserve">Server</w:t>
            </w:r>
          </w:p>
        </w:tc>
        <w:tc>
          <w:tcPr>
            <w:tcW w:type="dxa" w:w="5950"/>
            <w:shd w:fill="FFFFFF" w:val="clear"/>
            <w:tcMar>
              <w:top w:type="dxa" w:w="90"/>
              <w:left w:type="dxa" w:w="120"/>
              <w:bottom w:type="dxa" w:w="90"/>
              <w:right w:type="dxa" w:w="120"/>
            </w:tcMar>
          </w:tcPr>
          <w:p>
            <w:r>
              <w:rPr>
                <w:b w:val="false"/>
                <w:bCs w:val="false"/>
                <w:color w:val="2C2A22"/>
                <w:sz w:val="19"/>
                <w:szCs w:val="19"/>
              </w:rPr>
              <w:t xml:space="preserve">Chronological list of real milestones in Indian mathematics</w:t>
            </w:r>
          </w:p>
        </w:tc>
      </w:tr>
      <w:tr>
        <w:tc>
          <w:tcPr>
            <w:tcW w:type="dxa" w:w="2000"/>
            <w:shd w:fill="F7F0DC" w:val="clear"/>
            <w:tcMar>
              <w:top w:type="dxa" w:w="90"/>
              <w:left w:type="dxa" w:w="120"/>
              <w:bottom w:type="dxa" w:w="90"/>
              <w:right w:type="dxa" w:w="120"/>
            </w:tcMar>
          </w:tcPr>
          <w:p>
            <w:r>
              <w:rPr>
                <w:b w:val="false"/>
                <w:bCs w:val="false"/>
                <w:color w:val="2C2A22"/>
                <w:sz w:val="19"/>
                <w:szCs w:val="19"/>
              </w:rPr>
              <w:t xml:space="preserve">CTASection / Footer</w:t>
            </w:r>
          </w:p>
        </w:tc>
        <w:tc>
          <w:tcPr>
            <w:tcW w:type="dxa" w:w="1400"/>
            <w:shd w:fill="F7F0DC" w:val="clear"/>
            <w:tcMar>
              <w:top w:type="dxa" w:w="90"/>
              <w:left w:type="dxa" w:w="120"/>
              <w:bottom w:type="dxa" w:w="90"/>
              <w:right w:type="dxa" w:w="120"/>
            </w:tcMar>
          </w:tcPr>
          <w:p>
            <w:r>
              <w:rPr>
                <w:b w:val="false"/>
                <w:bCs w:val="false"/>
                <w:color w:val="2C2A22"/>
                <w:sz w:val="19"/>
                <w:szCs w:val="19"/>
              </w:rPr>
              <w:t xml:space="preserve">Server</w:t>
            </w:r>
          </w:p>
        </w:tc>
        <w:tc>
          <w:tcPr>
            <w:tcW w:type="dxa" w:w="5950"/>
            <w:shd w:fill="F7F0DC" w:val="clear"/>
            <w:tcMar>
              <w:top w:type="dxa" w:w="90"/>
              <w:left w:type="dxa" w:w="120"/>
              <w:bottom w:type="dxa" w:w="90"/>
              <w:right w:type="dxa" w:w="120"/>
            </w:tcMar>
          </w:tcPr>
          <w:p>
            <w:r>
              <w:rPr>
                <w:b w:val="false"/>
                <w:bCs w:val="false"/>
                <w:color w:val="2C2A22"/>
                <w:sz w:val="19"/>
                <w:szCs w:val="19"/>
              </w:rPr>
              <w:t xml:space="preserve">Closing call-to-action and a note on historical caveats</w:t>
            </w:r>
          </w:p>
        </w:tc>
      </w:tr>
      <w:tr>
        <w:tc>
          <w:tcPr>
            <w:tcW w:type="dxa" w:w="2000"/>
            <w:shd w:fill="FFFFFF" w:val="clear"/>
            <w:tcMar>
              <w:top w:type="dxa" w:w="90"/>
              <w:left w:type="dxa" w:w="120"/>
              <w:bottom w:type="dxa" w:w="90"/>
              <w:right w:type="dxa" w:w="120"/>
            </w:tcMar>
          </w:tcPr>
          <w:p>
            <w:r>
              <w:rPr>
                <w:b w:val="false"/>
                <w:bCs w:val="false"/>
                <w:color w:val="2C2A22"/>
                <w:sz w:val="19"/>
                <w:szCs w:val="19"/>
              </w:rPr>
              <w:t xml:space="preserve">CalculatorPage</w:t>
            </w:r>
          </w:p>
        </w:tc>
        <w:tc>
          <w:tcPr>
            <w:tcW w:type="dxa" w:w="1400"/>
            <w:shd w:fill="FFFFFF" w:val="clear"/>
            <w:tcMar>
              <w:top w:type="dxa" w:w="90"/>
              <w:left w:type="dxa" w:w="120"/>
              <w:bottom w:type="dxa" w:w="90"/>
              <w:right w:type="dxa" w:w="120"/>
            </w:tcMar>
          </w:tcPr>
          <w:p>
            <w:r>
              <w:rPr>
                <w:b w:val="false"/>
                <w:bCs w:val="false"/>
                <w:color w:val="2C2A22"/>
                <w:sz w:val="19"/>
                <w:szCs w:val="19"/>
              </w:rPr>
              <w:t xml:space="preserve">Client</w:t>
            </w:r>
          </w:p>
        </w:tc>
        <w:tc>
          <w:tcPr>
            <w:tcW w:type="dxa" w:w="5950"/>
            <w:shd w:fill="FFFFFF" w:val="clear"/>
            <w:tcMar>
              <w:top w:type="dxa" w:w="90"/>
              <w:left w:type="dxa" w:w="120"/>
              <w:bottom w:type="dxa" w:w="90"/>
              <w:right w:type="dxa" w:w="120"/>
            </w:tcMar>
          </w:tcPr>
          <w:p>
            <w:r>
              <w:rPr>
                <w:b w:val="false"/>
                <w:bCs w:val="false"/>
                <w:color w:val="2C2A22"/>
                <w:sz w:val="19"/>
                <w:szCs w:val="19"/>
              </w:rPr>
              <w:t xml:space="preserve">Owns operation/input state, calls the registry, renders StepPlayer</w:t>
            </w:r>
          </w:p>
        </w:tc>
      </w:tr>
      <w:tr>
        <w:tc>
          <w:tcPr>
            <w:tcW w:type="dxa" w:w="2000"/>
            <w:shd w:fill="F7F0DC" w:val="clear"/>
            <w:tcMar>
              <w:top w:type="dxa" w:w="90"/>
              <w:left w:type="dxa" w:w="120"/>
              <w:bottom w:type="dxa" w:w="90"/>
              <w:right w:type="dxa" w:w="120"/>
            </w:tcMar>
          </w:tcPr>
          <w:p>
            <w:r>
              <w:rPr>
                <w:b w:val="false"/>
                <w:bCs w:val="false"/>
                <w:color w:val="2C2A22"/>
                <w:sz w:val="19"/>
                <w:szCs w:val="19"/>
              </w:rPr>
              <w:t xml:space="preserve">StepPlayer</w:t>
            </w:r>
          </w:p>
        </w:tc>
        <w:tc>
          <w:tcPr>
            <w:tcW w:type="dxa" w:w="1400"/>
            <w:shd w:fill="F7F0DC" w:val="clear"/>
            <w:tcMar>
              <w:top w:type="dxa" w:w="90"/>
              <w:left w:type="dxa" w:w="120"/>
              <w:bottom w:type="dxa" w:w="90"/>
              <w:right w:type="dxa" w:w="120"/>
            </w:tcMar>
          </w:tcPr>
          <w:p>
            <w:r>
              <w:rPr>
                <w:b w:val="false"/>
                <w:bCs w:val="false"/>
                <w:color w:val="2C2A22"/>
                <w:sz w:val="19"/>
                <w:szCs w:val="19"/>
              </w:rPr>
              <w:t xml:space="preserve">Client</w:t>
            </w:r>
          </w:p>
        </w:tc>
        <w:tc>
          <w:tcPr>
            <w:tcW w:type="dxa" w:w="5950"/>
            <w:shd w:fill="F7F0DC" w:val="clear"/>
            <w:tcMar>
              <w:top w:type="dxa" w:w="90"/>
              <w:left w:type="dxa" w:w="120"/>
              <w:bottom w:type="dxa" w:w="90"/>
              <w:right w:type="dxa" w:w="120"/>
            </w:tcMar>
          </w:tcPr>
          <w:p>
            <w:r>
              <w:rPr>
                <w:b w:val="false"/>
                <w:bCs w:val="false"/>
                <w:color w:val="2C2A22"/>
                <w:sz w:val="19"/>
                <w:szCs w:val="19"/>
              </w:rPr>
              <w:t xml:space="preserve">Step navigation, auto-play, and dispatch to the right visual (crosswise diagram or generic step list)</w:t>
            </w:r>
          </w:p>
        </w:tc>
      </w:tr>
    </w:tbl>
    <w:p>
      <w:pPr>
        <w:spacing w:after="140" w:line="300"/>
      </w:pPr>
      <w:r>
        <w:rPr>
          <w:color w:val="2C2A22"/>
          <w:sz w:val="21"/>
          <w:szCs w:val="21"/>
        </w:rPr>
        <w:t xml:space="preserve">“Server” components render to HTML with no client-side JavaScript of their own; “Client” components are marked with a "use client" directive because they hold state or use browser-only APIs.</w:t>
      </w:r>
    </w:p>
    <w:p>
      <w:pPr>
        <w:pStyle w:val="Heading1"/>
        <w:pBdr>
          <w:bottom w:val="single" w:color="DDCCA0" w:sz="6" w:space="4"/>
        </w:pBdr>
        <w:spacing w:after="140" w:before="320"/>
      </w:pPr>
      <w:r>
        <w:rPr>
          <w:rFonts w:ascii="Georgia" w:cs="Georgia" w:eastAsia="Georgia" w:hAnsi="Georgia"/>
          <w:b/>
          <w:bCs/>
          <w:color w:val="211F2E"/>
          <w:sz w:val="30"/>
          <w:szCs w:val="30"/>
        </w:rPr>
        <w:t xml:space="preserve">6. Data Model</w:t>
      </w:r>
    </w:p>
    <w:p>
      <w:pPr>
        <w:spacing w:after="140" w:line="300"/>
      </w:pPr>
      <w:r>
        <w:rPr>
          <w:color w:val="2C2A22"/>
          <w:sz w:val="21"/>
          <w:szCs w:val="21"/>
        </w:rPr>
        <w:t xml:space="preserve">Every operation, regardless of which sutra it uses, returns the same shape, defined once in lib/vedicMath.ts:</w:t>
      </w:r>
    </w:p>
    <w:p>
      <w:pPr>
        <w:pBdr>
          <w:top w:val="single" w:color="2C2A22" w:sz="4" w:space="4"/>
          <w:bottom w:val="single" w:color="2C2A22" w:sz="4" w:space="4"/>
          <w:left w:val="single" w:color="2C2A22" w:sz="4" w:space="4"/>
          <w:right w:val="single" w:color="2C2A22" w:sz="4" w:space="4"/>
        </w:pBdr>
        <w:shd w:fill="2C2A22" w:val="clear"/>
        <w:spacing w:after="200" w:before="100" w:line="260"/>
      </w:pPr>
      <w:r>
        <w:rPr>
          <w:rFonts w:ascii="IBM Plex Mono" w:cs="IBM Plex Mono" w:eastAsia="IBM Plex Mono" w:hAnsi="IBM Plex Mono"/>
          <w:color w:val="ECE0C2"/>
          <w:sz w:val="18"/>
          <w:szCs w:val="18"/>
        </w:rPr>
        <w:t xml:space="preserve">interface Step {</w:t>
      </w:r>
      <w:r>
        <w:br/>
        <w:t xml:space="preserve"/>
      </w:r>
      <w:r>
        <w:rPr>
          <w:rFonts w:ascii="IBM Plex Mono" w:cs="IBM Plex Mono" w:eastAsia="IBM Plex Mono" w:hAnsi="IBM Plex Mono"/>
          <w:color w:val="ECE0C2"/>
          <w:sz w:val="18"/>
          <w:szCs w:val="18"/>
        </w:rPr>
        <w:t xml:space="preserve">  title: string;</w:t>
      </w:r>
      <w:r>
        <w:br/>
        <w:t xml:space="preserve"/>
      </w:r>
      <w:r>
        <w:rPr>
          <w:rFonts w:ascii="IBM Plex Mono" w:cs="IBM Plex Mono" w:eastAsia="IBM Plex Mono" w:hAnsi="IBM Plex Mono"/>
          <w:color w:val="ECE0C2"/>
          <w:sz w:val="18"/>
          <w:szCs w:val="18"/>
        </w:rPr>
        <w:t xml:space="preserve">  description: string;</w:t>
      </w:r>
      <w:r>
        <w:br/>
        <w:t xml:space="preserve"/>
      </w:r>
      <w:r>
        <w:rPr>
          <w:rFonts w:ascii="IBM Plex Mono" w:cs="IBM Plex Mono" w:eastAsia="IBM Plex Mono" w:hAnsi="IBM Plex Mono"/>
          <w:color w:val="ECE0C2"/>
          <w:sz w:val="18"/>
          <w:szCs w:val="18"/>
        </w:rPr>
        <w:t xml:space="preserve">  highlight?: { aIndex: number; bIndex: number }[];</w:t>
      </w:r>
      <w:r>
        <w:br/>
        <w:t xml:space="preserve"/>
      </w:r>
      <w:r>
        <w:rPr>
          <w:rFonts w:ascii="IBM Plex Mono" w:cs="IBM Plex Mono" w:eastAsia="IBM Plex Mono" w:hAnsi="IBM Plex Mono"/>
          <w:color w:val="ECE0C2"/>
          <w:sz w:val="18"/>
          <w:szCs w:val="18"/>
        </w:rPr>
        <w:t xml:space="preserve">  runningDigits?: string;</w:t>
      </w:r>
      <w:r>
        <w:br/>
        <w:t xml:space="preserve"/>
      </w:r>
      <w:r>
        <w:rPr>
          <w:rFonts w:ascii="IBM Plex Mono" w:cs="IBM Plex Mono" w:eastAsia="IBM Plex Mono" w:hAnsi="IBM Plex Mono"/>
          <w:color w:val="ECE0C2"/>
          <w:sz w:val="18"/>
          <w:szCs w:val="18"/>
        </w:rPr>
        <w:t xml:space="preserve">}</w:t>
      </w:r>
      <w:r>
        <w:br/>
        <w:t xml:space="preserve"/>
      </w:r>
      <w:r>
        <w:rPr>
          <w:rFonts w:ascii="IBM Plex Mono" w:cs="IBM Plex Mono" w:eastAsia="IBM Plex Mono" w:hAnsi="IBM Plex Mono"/>
          <w:color w:val="ECE0C2"/>
          <w:sz w:val="18"/>
          <w:szCs w:val="18"/>
        </w:rPr>
        <w:t xml:space="preserve"/>
      </w:r>
      <w:r>
        <w:br/>
        <w:t xml:space="preserve"/>
      </w:r>
      <w:r>
        <w:rPr>
          <w:rFonts w:ascii="IBM Plex Mono" w:cs="IBM Plex Mono" w:eastAsia="IBM Plex Mono" w:hAnsi="IBM Plex Mono"/>
          <w:color w:val="ECE0C2"/>
          <w:sz w:val="18"/>
          <w:szCs w:val="18"/>
        </w:rPr>
        <w:t xml:space="preserve">interface OperationResult {</w:t>
      </w:r>
      <w:r>
        <w:br/>
        <w:t xml:space="preserve"/>
      </w:r>
      <w:r>
        <w:rPr>
          <w:rFonts w:ascii="IBM Plex Mono" w:cs="IBM Plex Mono" w:eastAsia="IBM Plex Mono" w:hAnsi="IBM Plex Mono"/>
          <w:color w:val="ECE0C2"/>
          <w:sz w:val="18"/>
          <w:szCs w:val="18"/>
        </w:rPr>
        <w:t xml:space="preserve">  steps: Step[];</w:t>
      </w:r>
      <w:r>
        <w:br/>
        <w:t xml:space="preserve"/>
      </w:r>
      <w:r>
        <w:rPr>
          <w:rFonts w:ascii="IBM Plex Mono" w:cs="IBM Plex Mono" w:eastAsia="IBM Plex Mono" w:hAnsi="IBM Plex Mono"/>
          <w:color w:val="ECE0C2"/>
          <w:sz w:val="18"/>
          <w:szCs w:val="18"/>
        </w:rPr>
        <w:t xml:space="preserve">  method: string;</w:t>
      </w:r>
      <w:r>
        <w:br/>
        <w:t xml:space="preserve"/>
      </w:r>
      <w:r>
        <w:rPr>
          <w:rFonts w:ascii="IBM Plex Mono" w:cs="IBM Plex Mono" w:eastAsia="IBM Plex Mono" w:hAnsi="IBM Plex Mono"/>
          <w:color w:val="ECE0C2"/>
          <w:sz w:val="18"/>
          <w:szCs w:val="18"/>
        </w:rPr>
        <w:t xml:space="preserve">  result?: string;            // multiplication, squaring, subtraction</w:t>
      </w:r>
      <w:r>
        <w:br/>
        <w:t xml:space="preserve"/>
      </w:r>
      <w:r>
        <w:rPr>
          <w:rFonts w:ascii="IBM Plex Mono" w:cs="IBM Plex Mono" w:eastAsia="IBM Plex Mono" w:hAnsi="IBM Plex Mono"/>
          <w:color w:val="ECE0C2"/>
          <w:sz w:val="18"/>
          <w:szCs w:val="18"/>
        </w:rPr>
        <w:t xml:space="preserve">  quotient?: number;          // division</w:t>
      </w:r>
      <w:r>
        <w:br/>
        <w:t xml:space="preserve"/>
      </w:r>
      <w:r>
        <w:rPr>
          <w:rFonts w:ascii="IBM Plex Mono" w:cs="IBM Plex Mono" w:eastAsia="IBM Plex Mono" w:hAnsi="IBM Plex Mono"/>
          <w:color w:val="ECE0C2"/>
          <w:sz w:val="18"/>
          <w:szCs w:val="18"/>
        </w:rPr>
        <w:t xml:space="preserve">  remainder?: number;         // division</w:t>
      </w:r>
      <w:r>
        <w:br/>
        <w:t xml:space="preserve"/>
      </w:r>
      <w:r>
        <w:rPr>
          <w:rFonts w:ascii="IBM Plex Mono" w:cs="IBM Plex Mono" w:eastAsia="IBM Plex Mono" w:hAnsi="IBM Plex Mono"/>
          <w:color w:val="ECE0C2"/>
          <w:sz w:val="18"/>
          <w:szCs w:val="18"/>
        </w:rPr>
        <w:t xml:space="preserve">  divisible?: boolean;        // divisibility check</w:t>
      </w:r>
      <w:r>
        <w:br/>
        <w:t xml:space="preserve"/>
      </w:r>
      <w:r>
        <w:rPr>
          <w:rFonts w:ascii="IBM Plex Mono" w:cs="IBM Plex Mono" w:eastAsia="IBM Plex Mono" w:hAnsi="IBM Plex Mono"/>
          <w:color w:val="ECE0C2"/>
          <w:sz w:val="18"/>
          <w:szCs w:val="18"/>
        </w:rPr>
        <w:t xml:space="preserve">  Apad?: string[];            // present only when the crosswise</w:t>
      </w:r>
      <w:r>
        <w:br/>
        <w:t xml:space="preserve"/>
      </w:r>
      <w:r>
        <w:rPr>
          <w:rFonts w:ascii="IBM Plex Mono" w:cs="IBM Plex Mono" w:eastAsia="IBM Plex Mono" w:hAnsi="IBM Plex Mono"/>
          <w:color w:val="ECE0C2"/>
          <w:sz w:val="18"/>
          <w:szCs w:val="18"/>
        </w:rPr>
        <w:t xml:space="preserve">  Bpad?: string[];            //   digit diagram applies</w:t>
      </w:r>
      <w:r>
        <w:br/>
        <w:t xml:space="preserve"/>
      </w:r>
      <w:r>
        <w:rPr>
          <w:rFonts w:ascii="IBM Plex Mono" w:cs="IBM Plex Mono" w:eastAsia="IBM Plex Mono" w:hAnsi="IBM Plex Mono"/>
          <w:color w:val="ECE0C2"/>
          <w:sz w:val="18"/>
          <w:szCs w:val="18"/>
        </w:rPr>
        <w:t xml:space="preserve">}</w:t>
      </w:r>
    </w:p>
    <w:p>
      <w:pPr>
        <w:spacing w:after="140" w:line="300"/>
      </w:pPr>
      <w:r>
        <w:rPr>
          <w:color w:val="2C2A22"/>
          <w:sz w:val="21"/>
          <w:szCs w:val="21"/>
        </w:rPr>
        <w:t xml:space="preserve">The optional fields are a deliberate “duck-typed” contract: the UI decides what to render by checking which fields are present, not by switching on the operation's name.</w:t>
      </w:r>
    </w:p>
    <w:p>
      <w:pPr>
        <w:pStyle w:val="Heading1"/>
        <w:pBdr>
          <w:bottom w:val="single" w:color="DDCCA0" w:sz="6" w:space="4"/>
        </w:pBdr>
        <w:spacing w:after="140" w:before="320"/>
      </w:pPr>
      <w:r>
        <w:rPr>
          <w:rFonts w:ascii="Georgia" w:cs="Georgia" w:eastAsia="Georgia" w:hAnsi="Georgia"/>
          <w:b/>
          <w:bCs/>
          <w:color w:val="211F2E"/>
          <w:sz w:val="30"/>
          <w:szCs w:val="30"/>
        </w:rPr>
        <w:t xml:space="preserve">7. Operation Registry Pattern &amp; Extensibility</w:t>
      </w:r>
    </w:p>
    <w:p>
      <w:pPr>
        <w:spacing w:after="140" w:line="300"/>
      </w:pPr>
      <w:r>
        <w:rPr>
          <w:color w:val="2C2A22"/>
          <w:sz w:val="21"/>
          <w:szCs w:val="21"/>
        </w:rPr>
        <w:t xml:space="preserve">New operations are expected after this first release, so the codebase is built around a small registry (lib/operations.ts) rather than per-screen conditional logic. Each entry is an OperationDef: an id, a label, which inputs it needs, an optional validator, and a compute function.</w:t>
      </w:r>
    </w:p>
    <w:p>
      <w:pPr>
        <w:pBdr>
          <w:top w:val="single" w:color="2C2A22" w:sz="4" w:space="4"/>
          <w:bottom w:val="single" w:color="2C2A22" w:sz="4" w:space="4"/>
          <w:left w:val="single" w:color="2C2A22" w:sz="4" w:space="4"/>
          <w:right w:val="single" w:color="2C2A22" w:sz="4" w:space="4"/>
        </w:pBdr>
        <w:shd w:fill="2C2A22" w:val="clear"/>
        <w:spacing w:after="200" w:before="100" w:line="260"/>
      </w:pPr>
      <w:r>
        <w:rPr>
          <w:rFonts w:ascii="IBM Plex Mono" w:cs="IBM Plex Mono" w:eastAsia="IBM Plex Mono" w:hAnsi="IBM Plex Mono"/>
          <w:color w:val="ECE0C2"/>
          <w:sz w:val="18"/>
          <w:szCs w:val="18"/>
        </w:rPr>
        <w:t xml:space="preserve">export const OPERATIONS: OperationDef[] = [</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    id: "multiply",</w:t>
      </w:r>
      <w:r>
        <w:br/>
        <w:t xml:space="preserve"/>
      </w:r>
      <w:r>
        <w:rPr>
          <w:rFonts w:ascii="IBM Plex Mono" w:cs="IBM Plex Mono" w:eastAsia="IBM Plex Mono" w:hAnsi="IBM Plex Mono"/>
          <w:color w:val="ECE0C2"/>
          <w:sz w:val="18"/>
          <w:szCs w:val="18"/>
        </w:rPr>
        <w:t xml:space="preserve">    label: "Multiplication",</w:t>
      </w:r>
      <w:r>
        <w:br/>
        <w:t xml:space="preserve"/>
      </w:r>
      <w:r>
        <w:rPr>
          <w:rFonts w:ascii="IBM Plex Mono" w:cs="IBM Plex Mono" w:eastAsia="IBM Plex Mono" w:hAnsi="IBM Plex Mono"/>
          <w:color w:val="ECE0C2"/>
          <w:sz w:val="18"/>
          <w:szCs w:val="18"/>
        </w:rPr>
        <w:t xml:space="preserve">    needsB: true,</w:t>
      </w:r>
      <w:r>
        <w:br/>
        <w:t xml:space="preserve"/>
      </w:r>
      <w:r>
        <w:rPr>
          <w:rFonts w:ascii="IBM Plex Mono" w:cs="IBM Plex Mono" w:eastAsia="IBM Plex Mono" w:hAnsi="IBM Plex Mono"/>
          <w:color w:val="ECE0C2"/>
          <w:sz w:val="18"/>
          <w:szCs w:val="18"/>
        </w:rPr>
        <w:t xml:space="preserve">    bLabel: "Second number",</w:t>
      </w:r>
      <w:r>
        <w:br/>
        <w:t xml:space="preserve"/>
      </w:r>
      <w:r>
        <w:rPr>
          <w:rFonts w:ascii="IBM Plex Mono" w:cs="IBM Plex Mono" w:eastAsia="IBM Plex Mono" w:hAnsi="IBM Plex Mono"/>
          <w:color w:val="ECE0C2"/>
          <w:sz w:val="18"/>
          <w:szCs w:val="18"/>
        </w:rPr>
        <w:t xml:space="preserve">    compute: (a, b) =&gt; multiplySteps(a, b),</w:t>
      </w:r>
      <w:r>
        <w:br/>
        <w:t xml:space="preserve"/>
      </w:r>
      <w:r>
        <w:rPr>
          <w:rFonts w:ascii="IBM Plex Mono" w:cs="IBM Plex Mono" w:eastAsia="IBM Plex Mono" w:hAnsi="IBM Plex Mono"/>
          <w:color w:val="ECE0C2"/>
          <w:sz w:val="18"/>
          <w:szCs w:val="18"/>
        </w:rPr>
        <w:t xml:space="preserve">  },</w:t>
      </w:r>
      <w:r>
        <w:br/>
        <w:t xml:space="preserve"/>
      </w:r>
      <w:r>
        <w:rPr>
          <w:rFonts w:ascii="IBM Plex Mono" w:cs="IBM Plex Mono" w:eastAsia="IBM Plex Mono" w:hAnsi="IBM Plex Mono"/>
          <w:color w:val="ECE0C2"/>
          <w:sz w:val="18"/>
          <w:szCs w:val="18"/>
        </w:rPr>
        <w:t xml:space="preserve">  // ...add a new sutra by adding one more object here</w:t>
      </w:r>
      <w:r>
        <w:br/>
        <w:t xml:space="preserve"/>
      </w:r>
      <w:r>
        <w:rPr>
          <w:rFonts w:ascii="IBM Plex Mono" w:cs="IBM Plex Mono" w:eastAsia="IBM Plex Mono" w:hAnsi="IBM Plex Mono"/>
          <w:color w:val="ECE0C2"/>
          <w:sz w:val="18"/>
          <w:szCs w:val="18"/>
        </w:rPr>
        <w:t xml:space="preserve">];</w:t>
      </w:r>
    </w:p>
    <w:p>
      <w:pPr>
        <w:spacing w:after="140" w:line="300"/>
      </w:pPr>
      <w:r>
        <w:rPr>
          <w:color w:val="2C2A22"/>
          <w:sz w:val="21"/>
          <w:szCs w:val="21"/>
        </w:rPr>
        <w:t xml:space="preserve">To add a new technique: write one xSteps(a, b) function in vedicMath.ts that returns an OperationResult, then add one entry to OPERATIONS. The tab list, the input form, validation, and StepPlayer all read from that array, so nothing else changes. If the new result includes Apad/Bpad digit arrays, it automatically gets the animated crosswise diagram; otherwise StepPlayer falls back to the generic animated step list.</w:t>
      </w:r>
    </w:p>
    <w:p>
      <w:pPr>
        <w:pStyle w:val="Heading1"/>
        <w:pBdr>
          <w:bottom w:val="single" w:color="DDCCA0" w:sz="6" w:space="4"/>
        </w:pBdr>
        <w:spacing w:after="140" w:before="320"/>
      </w:pPr>
      <w:r>
        <w:rPr>
          <w:rFonts w:ascii="Georgia" w:cs="Georgia" w:eastAsia="Georgia" w:hAnsi="Georgia"/>
          <w:b/>
          <w:bCs/>
          <w:color w:val="211F2E"/>
          <w:sz w:val="30"/>
          <w:szCs w:val="30"/>
        </w:rPr>
        <w:t xml:space="preserve">8. Animation Strategy (Framer Motion)</w:t>
      </w:r>
    </w:p>
    <w:p>
      <w:pPr>
        <w:pStyle w:val="ListParagraph"/>
        <w:numPr>
          <w:ilvl w:val="0"/>
          <w:numId w:val="2"/>
        </w:numPr>
        <w:spacing w:after="70" w:line="280"/>
      </w:pPr>
      <w:r>
        <w:rPr>
          <w:color w:val="2C2A22"/>
          <w:sz w:val="21"/>
          <w:szCs w:val="21"/>
        </w:rPr>
        <w:t xml:space="preserve">Step captions: wrapped in AnimatePresence with a key on the step index, so each step's text fades and slides in independently.</w:t>
      </w:r>
    </w:p>
    <w:p>
      <w:pPr>
        <w:pStyle w:val="ListParagraph"/>
        <w:numPr>
          <w:ilvl w:val="0"/>
          <w:numId w:val="2"/>
        </w:numPr>
        <w:spacing w:after="70" w:line="280"/>
      </w:pPr>
      <w:r>
        <w:rPr>
          <w:color w:val="2C2A22"/>
          <w:sz w:val="21"/>
          <w:szCs w:val="21"/>
        </w:rPr>
        <w:t xml:space="preserve">Crosswise multiplication diagram: each connecting line is an SVG &lt;motion.line&gt; animating pathLength from 0 to 1, which draws the line rather than just fading it in — closer to how the technique is actually demonstrated on paper.</w:t>
      </w:r>
    </w:p>
    <w:p>
      <w:pPr>
        <w:pStyle w:val="ListParagraph"/>
        <w:numPr>
          <w:ilvl w:val="0"/>
          <w:numId w:val="2"/>
        </w:numPr>
        <w:spacing w:after="70" w:line="280"/>
      </w:pPr>
      <w:r>
        <w:rPr>
          <w:color w:val="2C2A22"/>
          <w:sz w:val="21"/>
          <w:szCs w:val="21"/>
        </w:rPr>
        <w:t xml:space="preserve">Digit boxes: animate a small y-offset when they become part of the active step's highlight, using layout-friendly motion.div rather than manual CSS transitions.</w:t>
      </w:r>
    </w:p>
    <w:p>
      <w:pPr>
        <w:pStyle w:val="ListParagraph"/>
        <w:numPr>
          <w:ilvl w:val="0"/>
          <w:numId w:val="2"/>
        </w:numPr>
        <w:spacing w:after="70" w:line="280"/>
      </w:pPr>
      <w:r>
        <w:rPr>
          <w:color w:val="2C2A22"/>
          <w:sz w:val="21"/>
          <w:szCs w:val="21"/>
        </w:rPr>
        <w:t xml:space="preserve">Generic step list (subtraction, division, divisibility): only the newest step animates in; earlier steps are rendered dimmed and static so attention stays on the current step.</w:t>
      </w:r>
    </w:p>
    <w:p>
      <w:pPr>
        <w:pStyle w:val="ListParagraph"/>
        <w:numPr>
          <w:ilvl w:val="0"/>
          <w:numId w:val="2"/>
        </w:numPr>
        <w:spacing w:after="70" w:line="280"/>
      </w:pPr>
      <w:r>
        <w:rPr>
          <w:color w:val="2C2A22"/>
          <w:sz w:val="21"/>
          <w:szCs w:val="21"/>
        </w:rPr>
        <w:t xml:space="preserve">Reduced motion: globals.css includes a prefers-reduced-motion override that collapses all animation and transition durations; Framer Motion respects this automatically for users with that OS setting.</w:t>
      </w:r>
    </w:p>
    <w:p>
      <w:pPr>
        <w:pStyle w:val="Heading1"/>
        <w:pBdr>
          <w:bottom w:val="single" w:color="DDCCA0" w:sz="6" w:space="4"/>
        </w:pBdr>
        <w:spacing w:after="140" w:before="320"/>
      </w:pPr>
      <w:r>
        <w:rPr>
          <w:rFonts w:ascii="Georgia" w:cs="Georgia" w:eastAsia="Georgia" w:hAnsi="Georgia"/>
          <w:b/>
          <w:bCs/>
          <w:color w:val="211F2E"/>
          <w:sz w:val="30"/>
          <w:szCs w:val="30"/>
        </w:rPr>
        <w:t xml:space="preserve">9. Styling Approach</w:t>
      </w:r>
    </w:p>
    <w:p>
      <w:pPr>
        <w:pStyle w:val="ListParagraph"/>
        <w:numPr>
          <w:ilvl w:val="0"/>
          <w:numId w:val="2"/>
        </w:numPr>
        <w:spacing w:after="70" w:line="280"/>
      </w:pPr>
      <w:r>
        <w:rPr>
          <w:color w:val="2C2A22"/>
          <w:sz w:val="21"/>
          <w:szCs w:val="21"/>
        </w:rPr>
        <w:t xml:space="preserve">Design tokens (ink, parchment, vermilion, gold, teal, muted) are defined once as CSS custom properties in app/globals.css and shared by every page and component.</w:t>
      </w:r>
    </w:p>
    <w:p>
      <w:pPr>
        <w:pStyle w:val="ListParagraph"/>
        <w:numPr>
          <w:ilvl w:val="0"/>
          <w:numId w:val="2"/>
        </w:numPr>
        <w:spacing w:after="70" w:line="280"/>
      </w:pPr>
      <w:r>
        <w:rPr>
          <w:color w:val="2C2A22"/>
          <w:sz w:val="21"/>
          <w:szCs w:val="21"/>
        </w:rPr>
        <w:t xml:space="preserve">Each component has a co-located .module.css file, scoped automatically by Next.js — no global class name collisions.</w:t>
      </w:r>
    </w:p>
    <w:p>
      <w:pPr>
        <w:pStyle w:val="ListParagraph"/>
        <w:numPr>
          <w:ilvl w:val="0"/>
          <w:numId w:val="2"/>
        </w:numPr>
        <w:spacing w:after="70" w:line="280"/>
      </w:pPr>
      <w:r>
        <w:rPr>
          <w:color w:val="2C2A22"/>
          <w:sz w:val="21"/>
          <w:szCs w:val="21"/>
        </w:rPr>
        <w:t xml:space="preserve">Fonts are loaded via next/font/google (Fraunces for display type, IBM Plex Sans for body text, IBM Plex Mono for digits and dates) and exposed as CSS variables on the &lt;html&gt; element.</w:t>
      </w:r>
    </w:p>
    <w:p>
      <w:pPr>
        <w:pStyle w:val="Heading1"/>
        <w:pBdr>
          <w:bottom w:val="single" w:color="DDCCA0" w:sz="6" w:space="4"/>
        </w:pBdr>
        <w:spacing w:after="140" w:before="320"/>
      </w:pPr>
      <w:r>
        <w:rPr>
          <w:rFonts w:ascii="Georgia" w:cs="Georgia" w:eastAsia="Georgia" w:hAnsi="Georgia"/>
          <w:b/>
          <w:bCs/>
          <w:color w:val="211F2E"/>
          <w:sz w:val="30"/>
          <w:szCs w:val="30"/>
        </w:rPr>
        <w:t xml:space="preserve">10. Correctness &amp; Verification Strategy</w:t>
      </w:r>
    </w:p>
    <w:p>
      <w:pPr>
        <w:spacing w:after="140" w:line="300"/>
      </w:pPr>
      <w:r>
        <w:rPr>
          <w:color w:val="2C2A22"/>
          <w:sz w:val="21"/>
          <w:szCs w:val="21"/>
        </w:rPr>
        <w:t xml:space="preserve">Several sutras are shortcuts that only work under certain conditions (for example, Nikhilam multiplication and division are only valid near a shared base). Rather than trust the shortcut blindly, the engine treats correctness as non-negotiable: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tcW w:type="dxa" w:w="4700"/>
            <w:shd w:fill="A8402F" w:val="clear"/>
            <w:tcMar>
              <w:top w:type="dxa" w:w="90"/>
              <w:left w:type="dxa" w:w="120"/>
              <w:bottom w:type="dxa" w:w="90"/>
              <w:right w:type="dxa" w:w="120"/>
            </w:tcMar>
          </w:tcPr>
          <w:p>
            <w:r>
              <w:rPr>
                <w:b/>
                <w:bCs/>
                <w:color w:val="FFFFFF"/>
                <w:sz w:val="19"/>
                <w:szCs w:val="19"/>
              </w:rPr>
              <w:t xml:space="preserve">Risk</w:t>
            </w:r>
          </w:p>
        </w:tc>
        <w:tc>
          <w:tcPr>
            <w:tcW w:type="dxa" w:w="4650"/>
            <w:shd w:fill="A8402F" w:val="clear"/>
            <w:tcMar>
              <w:top w:type="dxa" w:w="90"/>
              <w:left w:type="dxa" w:w="120"/>
              <w:bottom w:type="dxa" w:w="90"/>
              <w:right w:type="dxa" w:w="120"/>
            </w:tcMar>
          </w:tcPr>
          <w:p>
            <w:r>
              <w:rPr>
                <w:b/>
                <w:bCs/>
                <w:color w:val="FFFFFF"/>
                <w:sz w:val="19"/>
                <w:szCs w:val="19"/>
              </w:rPr>
              <w:t xml:space="preserve">Mitigation</w:t>
            </w:r>
          </w:p>
        </w:tc>
      </w:tr>
      <w:tr>
        <w:tc>
          <w:tcPr>
            <w:tcW w:type="dxa" w:w="4700"/>
            <w:shd w:fill="FFFFFF" w:val="clear"/>
            <w:tcMar>
              <w:top w:type="dxa" w:w="90"/>
              <w:left w:type="dxa" w:w="120"/>
              <w:bottom w:type="dxa" w:w="90"/>
              <w:right w:type="dxa" w:w="120"/>
            </w:tcMar>
          </w:tcPr>
          <w:p>
            <w:r>
              <w:rPr>
                <w:b w:val="false"/>
                <w:bCs w:val="false"/>
                <w:color w:val="2C2A22"/>
                <w:sz w:val="19"/>
                <w:szCs w:val="19"/>
              </w:rPr>
              <w:t xml:space="preserve">A classical shortcut (e.g. Nikhilam division) gives the wrong answer for some inputs</w:t>
            </w:r>
          </w:p>
        </w:tc>
        <w:tc>
          <w:tcPr>
            <w:tcW w:type="dxa" w:w="4650"/>
            <w:shd w:fill="FFFFFF" w:val="clear"/>
            <w:tcMar>
              <w:top w:type="dxa" w:w="90"/>
              <w:left w:type="dxa" w:w="120"/>
              <w:bottom w:type="dxa" w:w="90"/>
              <w:right w:type="dxa" w:w="120"/>
            </w:tcMar>
          </w:tcPr>
          <w:p>
            <w:r>
              <w:rPr>
                <w:b w:val="false"/>
                <w:bCs w:val="false"/>
                <w:color w:val="2C2A22"/>
                <w:sz w:val="19"/>
                <w:szCs w:val="19"/>
              </w:rPr>
              <w:t xml:space="preserve">Every shortcut's result is compared against direct computation (Math.floor/%) before being shown; on mismatch the engine falls back to a plain method</w:t>
            </w:r>
          </w:p>
        </w:tc>
      </w:tr>
      <w:tr>
        <w:tc>
          <w:tcPr>
            <w:tcW w:type="dxa" w:w="4700"/>
            <w:shd w:fill="F7F0DC" w:val="clear"/>
            <w:tcMar>
              <w:top w:type="dxa" w:w="90"/>
              <w:left w:type="dxa" w:w="120"/>
              <w:bottom w:type="dxa" w:w="90"/>
              <w:right w:type="dxa" w:w="120"/>
            </w:tcMar>
          </w:tcPr>
          <w:p>
            <w:r>
              <w:rPr>
                <w:b w:val="false"/>
                <w:bCs w:val="false"/>
                <w:color w:val="2C2A22"/>
                <w:sz w:val="19"/>
                <w:szCs w:val="19"/>
              </w:rPr>
              <w:t xml:space="preserve">Nikhilam division's guess-correction loop fails to converge for a divisor far from its base</w:t>
            </w:r>
          </w:p>
        </w:tc>
        <w:tc>
          <w:tcPr>
            <w:tcW w:type="dxa" w:w="4650"/>
            <w:shd w:fill="F7F0DC" w:val="clear"/>
            <w:tcMar>
              <w:top w:type="dxa" w:w="90"/>
              <w:left w:type="dxa" w:w="120"/>
              <w:bottom w:type="dxa" w:w="90"/>
              <w:right w:type="dxa" w:w="120"/>
            </w:tcMar>
          </w:tcPr>
          <w:p>
            <w:r>
              <w:rPr>
                <w:b w:val="false"/>
                <w:bCs w:val="false"/>
                <w:color w:val="2C2A22"/>
                <w:sz w:val="19"/>
                <w:szCs w:val="19"/>
              </w:rPr>
              <w:t xml:space="preserve">The loop is capped, and an oscillation guard forces termination; the result is still checked against ground truth afterwards</w:t>
            </w:r>
          </w:p>
        </w:tc>
      </w:tr>
      <w:tr>
        <w:tc>
          <w:tcPr>
            <w:tcW w:type="dxa" w:w="4700"/>
            <w:shd w:fill="FFFFFF" w:val="clear"/>
            <w:tcMar>
              <w:top w:type="dxa" w:w="90"/>
              <w:left w:type="dxa" w:w="120"/>
              <w:bottom w:type="dxa" w:w="90"/>
              <w:right w:type="dxa" w:w="120"/>
            </w:tcMar>
          </w:tcPr>
          <w:p>
            <w:r>
              <w:rPr>
                <w:b w:val="false"/>
                <w:bCs w:val="false"/>
                <w:color w:val="2C2A22"/>
                <w:sz w:val="19"/>
                <w:szCs w:val="19"/>
              </w:rPr>
              <w:t xml:space="preserve">A new sutra is added later with a bug</w:t>
            </w:r>
          </w:p>
        </w:tc>
        <w:tc>
          <w:tcPr>
            <w:tcW w:type="dxa" w:w="4650"/>
            <w:shd w:fill="FFFFFF" w:val="clear"/>
            <w:tcMar>
              <w:top w:type="dxa" w:w="90"/>
              <w:left w:type="dxa" w:w="120"/>
              <w:bottom w:type="dxa" w:w="90"/>
              <w:right w:type="dxa" w:w="120"/>
            </w:tcMar>
          </w:tcPr>
          <w:p>
            <w:r>
              <w:rPr>
                <w:b w:val="false"/>
                <w:bCs w:val="false"/>
                <w:color w:val="2C2A22"/>
                <w:sz w:val="19"/>
                <w:szCs w:val="19"/>
              </w:rPr>
              <w:t xml:space="preserve">Because each sutra is a pure function with a single input/output shape, it can be unit-tested in isolation against randomised ground-truth checks (see Section 13)</w:t>
            </w:r>
          </w:p>
        </w:tc>
      </w:tr>
    </w:tbl>
    <w:p>
      <w:pPr>
        <w:spacing w:before="200"/>
      </w:pPr>
    </w:p>
    <w:p>
      <w:pPr>
        <w:pStyle w:val="Heading1"/>
        <w:pBdr>
          <w:bottom w:val="single" w:color="DDCCA0" w:sz="6" w:space="4"/>
        </w:pBdr>
        <w:spacing w:after="140" w:before="320"/>
      </w:pPr>
      <w:r>
        <w:rPr>
          <w:rFonts w:ascii="Georgia" w:cs="Georgia" w:eastAsia="Georgia" w:hAnsi="Georgia"/>
          <w:b/>
          <w:bCs/>
          <w:color w:val="211F2E"/>
          <w:sz w:val="30"/>
          <w:szCs w:val="30"/>
        </w:rPr>
        <w:t xml:space="preserve">11. Non-Functional / Technical Requirements</w:t>
      </w:r>
    </w:p>
    <w:p>
      <w:pPr>
        <w:pStyle w:val="ListParagraph"/>
        <w:numPr>
          <w:ilvl w:val="0"/>
          <w:numId w:val="2"/>
        </w:numPr>
        <w:spacing w:after="70" w:line="280"/>
      </w:pPr>
      <w:r>
        <w:rPr>
          <w:color w:val="2C2A22"/>
          <w:sz w:val="21"/>
          <w:szCs w:val="21"/>
        </w:rPr>
        <w:t xml:space="preserve">Type safety: tsconfig.json runs in strict mode; the project should type-check with zero errors (npx tsc --noEmit) before any change is merged.</w:t>
      </w:r>
    </w:p>
    <w:p>
      <w:pPr>
        <w:pStyle w:val="ListParagraph"/>
        <w:numPr>
          <w:ilvl w:val="0"/>
          <w:numId w:val="2"/>
        </w:numPr>
        <w:spacing w:after="70" w:line="280"/>
      </w:pPr>
      <w:r>
        <w:rPr>
          <w:color w:val="2C2A22"/>
          <w:sz w:val="21"/>
          <w:szCs w:val="21"/>
        </w:rPr>
        <w:t xml:space="preserve">Performance: all calculations run client-side in well under a frame for the input sizes this tool supports; no network round-trip is needed to produce a result.</w:t>
      </w:r>
    </w:p>
    <w:p>
      <w:pPr>
        <w:pStyle w:val="ListParagraph"/>
        <w:numPr>
          <w:ilvl w:val="0"/>
          <w:numId w:val="2"/>
        </w:numPr>
        <w:spacing w:after="70" w:line="280"/>
      </w:pPr>
      <w:r>
        <w:rPr>
          <w:color w:val="2C2A22"/>
          <w:sz w:val="21"/>
          <w:szCs w:val="21"/>
        </w:rPr>
        <w:t xml:space="preserve">Accessibility: visible :focus-visible outlines site-wide, prefers-reduced-motion respected, sufficient text contrast against the parchment background.</w:t>
      </w:r>
    </w:p>
    <w:p>
      <w:pPr>
        <w:pStyle w:val="ListParagraph"/>
        <w:numPr>
          <w:ilvl w:val="0"/>
          <w:numId w:val="2"/>
        </w:numPr>
        <w:spacing w:after="70" w:line="280"/>
      </w:pPr>
      <w:r>
        <w:rPr>
          <w:color w:val="2C2A22"/>
          <w:sz w:val="21"/>
          <w:szCs w:val="21"/>
        </w:rPr>
        <w:t xml:space="preserve">No secrets or environment variables are required — the app has no backend, database, or third-party API calls.</w:t>
      </w:r>
    </w:p>
    <w:p>
      <w:pPr>
        <w:pStyle w:val="ListParagraph"/>
        <w:numPr>
          <w:ilvl w:val="0"/>
          <w:numId w:val="2"/>
        </w:numPr>
        <w:spacing w:after="70" w:line="280"/>
      </w:pPr>
      <w:r>
        <w:rPr>
          <w:color w:val="2C2A22"/>
          <w:sz w:val="21"/>
          <w:szCs w:val="21"/>
        </w:rPr>
        <w:t xml:space="preserve">Browser support: current versions of Chrome, Safari, Firefox, and Edge; no IE11 support.</w:t>
      </w:r>
    </w:p>
    <w:p>
      <w:pPr>
        <w:pStyle w:val="Heading1"/>
        <w:pBdr>
          <w:bottom w:val="single" w:color="DDCCA0" w:sz="6" w:space="4"/>
        </w:pBdr>
        <w:spacing w:after="140" w:before="320"/>
      </w:pPr>
      <w:r>
        <w:rPr>
          <w:rFonts w:ascii="Georgia" w:cs="Georgia" w:eastAsia="Georgia" w:hAnsi="Georgia"/>
          <w:b/>
          <w:bCs/>
          <w:color w:val="211F2E"/>
          <w:sz w:val="30"/>
          <w:szCs w:val="30"/>
        </w:rPr>
        <w:t xml:space="preserve">12. Build &amp; Deployment</w:t>
      </w:r>
    </w:p>
    <w:p>
      <w:pPr>
        <w:pBdr>
          <w:top w:val="single" w:color="2C2A22" w:sz="4" w:space="4"/>
          <w:bottom w:val="single" w:color="2C2A22" w:sz="4" w:space="4"/>
          <w:left w:val="single" w:color="2C2A22" w:sz="4" w:space="4"/>
          <w:right w:val="single" w:color="2C2A22" w:sz="4" w:space="4"/>
        </w:pBdr>
        <w:shd w:fill="2C2A22" w:val="clear"/>
        <w:spacing w:after="200" w:before="100" w:line="260"/>
      </w:pPr>
      <w:r>
        <w:rPr>
          <w:rFonts w:ascii="IBM Plex Mono" w:cs="IBM Plex Mono" w:eastAsia="IBM Plex Mono" w:hAnsi="IBM Plex Mono"/>
          <w:color w:val="ECE0C2"/>
          <w:sz w:val="18"/>
          <w:szCs w:val="18"/>
        </w:rPr>
        <w:t xml:space="preserve">npm install       # install dependencies</w:t>
      </w:r>
      <w:r>
        <w:br/>
        <w:t xml:space="preserve"/>
      </w:r>
      <w:r>
        <w:rPr>
          <w:rFonts w:ascii="IBM Plex Mono" w:cs="IBM Plex Mono" w:eastAsia="IBM Plex Mono" w:hAnsi="IBM Plex Mono"/>
          <w:color w:val="ECE0C2"/>
          <w:sz w:val="18"/>
          <w:szCs w:val="18"/>
        </w:rPr>
        <w:t xml:space="preserve">npm run dev       # local development server</w:t>
      </w:r>
      <w:r>
        <w:br/>
        <w:t xml:space="preserve"/>
      </w:r>
      <w:r>
        <w:rPr>
          <w:rFonts w:ascii="IBM Plex Mono" w:cs="IBM Plex Mono" w:eastAsia="IBM Plex Mono" w:hAnsi="IBM Plex Mono"/>
          <w:color w:val="ECE0C2"/>
          <w:sz w:val="18"/>
          <w:szCs w:val="18"/>
        </w:rPr>
        <w:t xml:space="preserve">npm run build     # production build (also type-checks)</w:t>
      </w:r>
      <w:r>
        <w:br/>
        <w:t xml:space="preserve"/>
      </w:r>
      <w:r>
        <w:rPr>
          <w:rFonts w:ascii="IBM Plex Mono" w:cs="IBM Plex Mono" w:eastAsia="IBM Plex Mono" w:hAnsi="IBM Plex Mono"/>
          <w:color w:val="ECE0C2"/>
          <w:sz w:val="18"/>
          <w:szCs w:val="18"/>
        </w:rPr>
        <w:t xml:space="preserve">npm run start     # run the production build locally</w:t>
      </w:r>
    </w:p>
    <w:p>
      <w:pPr>
        <w:spacing w:after="140" w:line="300"/>
      </w:pPr>
      <w:r>
        <w:rPr>
          <w:color w:val="2C2A22"/>
          <w:sz w:val="21"/>
          <w:szCs w:val="21"/>
        </w:rPr>
        <w:t xml:space="preserve">The app is a standard Next.js project with no custom server code, so it deploys to any Next.js-compatible host (Vercel, Netlify, or a Node server running next start) without additional configuration.</w:t>
      </w:r>
    </w:p>
    <w:p>
      <w:pPr>
        <w:pStyle w:val="Heading1"/>
        <w:pBdr>
          <w:bottom w:val="single" w:color="DDCCA0" w:sz="6" w:space="4"/>
        </w:pBdr>
        <w:spacing w:after="140" w:before="320"/>
      </w:pPr>
      <w:r>
        <w:rPr>
          <w:rFonts w:ascii="Georgia" w:cs="Georgia" w:eastAsia="Georgia" w:hAnsi="Georgia"/>
          <w:b/>
          <w:bCs/>
          <w:color w:val="211F2E"/>
          <w:sz w:val="30"/>
          <w:szCs w:val="30"/>
        </w:rPr>
        <w:t xml:space="preserve">13. Testing Recommendations</w:t>
      </w:r>
    </w:p>
    <w:p>
      <w:pPr>
        <w:spacing w:after="140" w:line="300"/>
      </w:pPr>
      <w:r>
        <w:rPr>
          <w:color w:val="2C2A22"/>
          <w:sz w:val="21"/>
          <w:szCs w:val="21"/>
        </w:rPr>
        <w:t xml:space="preserve">The project does not yet include an automated test suite. Before further sutras are added, the recommended first addition is a unit test file per math function in lib/vedicMath.ts, using Vitest or Jest, that runs each function against hundreds of randomised inputs and asserts the result matches direct computation (Math.floor/%, BigInt subtraction, etc.) — the same style of check used manually during development of the multiplication, division, and subtraction routines.</w:t>
      </w:r>
    </w:p>
    <w:p>
      <w:pPr>
        <w:pStyle w:val="Heading1"/>
        <w:pBdr>
          <w:bottom w:val="single" w:color="DDCCA0" w:sz="6" w:space="4"/>
        </w:pBdr>
        <w:spacing w:after="140" w:before="320"/>
      </w:pPr>
      <w:r>
        <w:rPr>
          <w:rFonts w:ascii="Georgia" w:cs="Georgia" w:eastAsia="Georgia" w:hAnsi="Georgia"/>
          <w:b/>
          <w:bCs/>
          <w:color w:val="211F2E"/>
          <w:sz w:val="30"/>
          <w:szCs w:val="30"/>
        </w:rPr>
        <w:t xml:space="preserve">14. Folder Structure</w:t>
      </w:r>
    </w:p>
    <w:p>
      <w:pPr>
        <w:pBdr>
          <w:top w:val="single" w:color="2C2A22" w:sz="4" w:space="4"/>
          <w:bottom w:val="single" w:color="2C2A22" w:sz="4" w:space="4"/>
          <w:left w:val="single" w:color="2C2A22" w:sz="4" w:space="4"/>
          <w:right w:val="single" w:color="2C2A22" w:sz="4" w:space="4"/>
        </w:pBdr>
        <w:shd w:fill="2C2A22" w:val="clear"/>
        <w:spacing w:after="200" w:before="100" w:line="260"/>
      </w:pPr>
      <w:r>
        <w:rPr>
          <w:rFonts w:ascii="IBM Plex Mono" w:cs="IBM Plex Mono" w:eastAsia="IBM Plex Mono" w:hAnsi="IBM Plex Mono"/>
          <w:color w:val="ECE0C2"/>
          <w:sz w:val="18"/>
          <w:szCs w:val="18"/>
        </w:rPr>
        <w:t xml:space="preserve">app/</w:t>
      </w:r>
      <w:r>
        <w:br/>
        <w:t xml:space="preserve"/>
      </w:r>
      <w:r>
        <w:rPr>
          <w:rFonts w:ascii="IBM Plex Mono" w:cs="IBM Plex Mono" w:eastAsia="IBM Plex Mono" w:hAnsi="IBM Plex Mono"/>
          <w:color w:val="ECE0C2"/>
          <w:sz w:val="18"/>
          <w:szCs w:val="18"/>
        </w:rPr>
        <w:t xml:space="preserve">  layout.tsx              root layout: fonts, metadata</w:t>
      </w:r>
      <w:r>
        <w:br/>
        <w:t xml:space="preserve"/>
      </w:r>
      <w:r>
        <w:rPr>
          <w:rFonts w:ascii="IBM Plex Mono" w:cs="IBM Plex Mono" w:eastAsia="IBM Plex Mono" w:hAnsi="IBM Plex Mono"/>
          <w:color w:val="ECE0C2"/>
          <w:sz w:val="18"/>
          <w:szCs w:val="18"/>
        </w:rPr>
        <w:t xml:space="preserve">  page.tsx                 landing page</w:t>
      </w:r>
      <w:r>
        <w:br/>
        <w:t xml:space="preserve"/>
      </w:r>
      <w:r>
        <w:rPr>
          <w:rFonts w:ascii="IBM Plex Mono" w:cs="IBM Plex Mono" w:eastAsia="IBM Plex Mono" w:hAnsi="IBM Plex Mono"/>
          <w:color w:val="ECE0C2"/>
          <w:sz w:val="18"/>
          <w:szCs w:val="18"/>
        </w:rPr>
        <w:t xml:space="preserve">  globals.css              design tokens shared by every page</w:t>
      </w:r>
      <w:r>
        <w:br/>
        <w:t xml:space="preserve"/>
      </w:r>
      <w:r>
        <w:rPr>
          <w:rFonts w:ascii="IBM Plex Mono" w:cs="IBM Plex Mono" w:eastAsia="IBM Plex Mono" w:hAnsi="IBM Plex Mono"/>
          <w:color w:val="ECE0C2"/>
          <w:sz w:val="18"/>
          <w:szCs w:val="18"/>
        </w:rPr>
        <w:t xml:space="preserve">  calculator/</w:t>
      </w:r>
      <w:r>
        <w:br/>
        <w:t xml:space="preserve"/>
      </w:r>
      <w:r>
        <w:rPr>
          <w:rFonts w:ascii="IBM Plex Mono" w:cs="IBM Plex Mono" w:eastAsia="IBM Plex Mono" w:hAnsi="IBM Plex Mono"/>
          <w:color w:val="ECE0C2"/>
          <w:sz w:val="18"/>
          <w:szCs w:val="18"/>
        </w:rPr>
        <w:t xml:space="preserve">    page.tsx                calculator page (client component)</w:t>
      </w:r>
      <w:r>
        <w:br/>
        <w:t xml:space="preserve"/>
      </w:r>
      <w:r>
        <w:rPr>
          <w:rFonts w:ascii="IBM Plex Mono" w:cs="IBM Plex Mono" w:eastAsia="IBM Plex Mono" w:hAnsi="IBM Plex Mono"/>
          <w:color w:val="ECE0C2"/>
          <w:sz w:val="18"/>
          <w:szCs w:val="18"/>
        </w:rPr>
        <w:t xml:space="preserve">    calculator.module.css</w:t>
      </w:r>
      <w:r>
        <w:br/>
        <w:t xml:space="preserve"/>
      </w:r>
      <w:r>
        <w:rPr>
          <w:rFonts w:ascii="IBM Plex Mono" w:cs="IBM Plex Mono" w:eastAsia="IBM Plex Mono" w:hAnsi="IBM Plex Mono"/>
          <w:color w:val="ECE0C2"/>
          <w:sz w:val="18"/>
          <w:szCs w:val="18"/>
        </w:rPr>
        <w:t xml:space="preserve">components/</w:t>
      </w:r>
      <w:r>
        <w:br/>
        <w:t xml:space="preserve"/>
      </w:r>
      <w:r>
        <w:rPr>
          <w:rFonts w:ascii="IBM Plex Mono" w:cs="IBM Plex Mono" w:eastAsia="IBM Plex Mono" w:hAnsi="IBM Plex Mono"/>
          <w:color w:val="ECE0C2"/>
          <w:sz w:val="18"/>
          <w:szCs w:val="18"/>
        </w:rPr>
        <w:t xml:space="preserve">  Nav.tsx, Hero.tsx, FactCard.tsx, IKSSection.tsx,</w:t>
      </w:r>
      <w:r>
        <w:br/>
        <w:t xml:space="preserve"/>
      </w:r>
      <w:r>
        <w:rPr>
          <w:rFonts w:ascii="IBM Plex Mono" w:cs="IBM Plex Mono" w:eastAsia="IBM Plex Mono" w:hAnsi="IBM Plex Mono"/>
          <w:color w:val="ECE0C2"/>
          <w:sz w:val="18"/>
          <w:szCs w:val="18"/>
        </w:rPr>
        <w:t xml:space="preserve">  Timeline.tsx, CTASection.tsx, Footer.tsx</w:t>
      </w:r>
      <w:r>
        <w:br/>
        <w:t xml:space="preserve"/>
      </w:r>
      <w:r>
        <w:rPr>
          <w:rFonts w:ascii="IBM Plex Mono" w:cs="IBM Plex Mono" w:eastAsia="IBM Plex Mono" w:hAnsi="IBM Plex Mono"/>
          <w:color w:val="ECE0C2"/>
          <w:sz w:val="18"/>
          <w:szCs w:val="18"/>
        </w:rPr>
        <w:t xml:space="preserve">  calculator/StepPlayer.tsx</w:t>
      </w:r>
      <w:r>
        <w:br/>
        <w:t xml:space="preserve"/>
      </w:r>
      <w:r>
        <w:rPr>
          <w:rFonts w:ascii="IBM Plex Mono" w:cs="IBM Plex Mono" w:eastAsia="IBM Plex Mono" w:hAnsi="IBM Plex Mono"/>
          <w:color w:val="ECE0C2"/>
          <w:sz w:val="18"/>
          <w:szCs w:val="18"/>
        </w:rPr>
        <w:t xml:space="preserve">lib/</w:t>
      </w:r>
      <w:r>
        <w:br/>
        <w:t xml:space="preserve"/>
      </w:r>
      <w:r>
        <w:rPr>
          <w:rFonts w:ascii="IBM Plex Mono" w:cs="IBM Plex Mono" w:eastAsia="IBM Plex Mono" w:hAnsi="IBM Plex Mono"/>
          <w:color w:val="ECE0C2"/>
          <w:sz w:val="18"/>
          <w:szCs w:val="18"/>
        </w:rPr>
        <w:t xml:space="preserve">  vedicMath.ts             the math engine (one function per sutra)</w:t>
      </w:r>
      <w:r>
        <w:br/>
        <w:t xml:space="preserve"/>
      </w:r>
      <w:r>
        <w:rPr>
          <w:rFonts w:ascii="IBM Plex Mono" w:cs="IBM Plex Mono" w:eastAsia="IBM Plex Mono" w:hAnsi="IBM Plex Mono"/>
          <w:color w:val="ECE0C2"/>
          <w:sz w:val="18"/>
          <w:szCs w:val="18"/>
        </w:rPr>
        <w:t xml:space="preserve">  operations.ts            the operation registry</w:t>
      </w:r>
      <w:r>
        <w:br/>
        <w:t xml:space="preserve"/>
      </w:r>
      <w:r>
        <w:rPr>
          <w:rFonts w:ascii="IBM Plex Mono" w:cs="IBM Plex Mono" w:eastAsia="IBM Plex Mono" w:hAnsi="IBM Plex Mono"/>
          <w:color w:val="ECE0C2"/>
          <w:sz w:val="18"/>
          <w:szCs w:val="18"/>
        </w:rPr>
        <w:t xml:space="preserve">  facts.ts                 the homepage fact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2026-09-16T18:19:50.234Z</dcterms:created>
  <dcterms:modified xsi:type="dcterms:W3CDTF">2026-09-16T18:19:50.235Z</dcterms:modified>
</cp:coreProperties>
</file>

<file path=docProps/custom.xml><?xml version="1.0" encoding="utf-8"?>
<Properties xmlns="http://schemas.openxmlformats.org/officeDocument/2006/custom-properties" xmlns:vt="http://schemas.openxmlformats.org/officeDocument/2006/docPropsVTypes"/>
</file>